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pPr>
      <w:r>
        <w:rPr>
          <w:rStyle w:val="Domylnaczcionkaakapitu"/>
          <w:rFonts w:eastAsia="Times New Roman" w:cs="Times New Roman"/>
          <w:b/>
          <w:lang w:val="pl-PL" w:bidi="ar-SA"/>
        </w:rPr>
        <w:t xml:space="preserve">                                                                                                 </w:t>
      </w:r>
      <w:r>
        <w:rPr>
          <w:rStyle w:val="Domylnaczcionkaakapitu"/>
          <w:rFonts w:eastAsia="Times New Roman" w:cs="Times New Roman"/>
          <w:b/>
          <w:lang w:val="pl-PL" w:bidi="ar-SA"/>
        </w:rPr>
        <w:t xml:space="preserve">Gołdap, dn. 04.09.2019 r.                                                                                                                         </w:t>
      </w:r>
    </w:p>
    <w:p>
      <w:pPr>
        <w:pStyle w:val="Normal"/>
        <w:jc w:val="both"/>
        <w:rPr>
          <w:rFonts w:eastAsia="Times New Roman" w:cs="Times New Roman"/>
          <w:b/>
          <w:b/>
          <w:lang w:val="pl-PL" w:bidi="ar-SA"/>
        </w:rPr>
      </w:pPr>
      <w:r>
        <w:rPr>
          <w:rFonts w:eastAsia="Times New Roman" w:cs="Times New Roman"/>
          <w:b/>
          <w:lang w:val="pl-PL" w:bidi="ar-SA"/>
        </w:rPr>
        <w:t xml:space="preserve">                 </w:t>
      </w:r>
    </w:p>
    <w:p>
      <w:pPr>
        <w:pStyle w:val="Normalny"/>
        <w:jc w:val="center"/>
        <w:rPr>
          <w:rFonts w:eastAsia="Tahoma"/>
          <w:b/>
          <w:b/>
          <w:bCs/>
        </w:rPr>
      </w:pPr>
      <w:r>
        <w:rPr>
          <w:rFonts w:eastAsia="Tahoma"/>
          <w:b/>
          <w:bCs/>
        </w:rPr>
        <w:t>ZAPYTANIE OFERTOWE</w:t>
      </w:r>
    </w:p>
    <w:p>
      <w:pPr>
        <w:pStyle w:val="Normalny"/>
        <w:jc w:val="center"/>
        <w:rPr>
          <w:rFonts w:eastAsia="Tahoma"/>
          <w:b/>
          <w:b/>
          <w:bCs/>
        </w:rPr>
      </w:pPr>
      <w:r>
        <w:rPr>
          <w:rFonts w:eastAsia="Tahoma"/>
          <w:b/>
          <w:bCs/>
        </w:rPr>
      </w:r>
    </w:p>
    <w:p>
      <w:pPr>
        <w:pStyle w:val="Normal"/>
        <w:tabs>
          <w:tab w:val="clear" w:pos="706"/>
          <w:tab w:val="left" w:pos="407" w:leader="none"/>
          <w:tab w:val="left" w:pos="632" w:leader="none"/>
          <w:tab w:val="center" w:pos="16069" w:leader="none"/>
          <w:tab w:val="right" w:pos="20605" w:leader="none"/>
        </w:tabs>
        <w:spacing w:lineRule="atLeast" w:line="200"/>
        <w:ind w:left="13" w:hanging="13"/>
        <w:jc w:val="both"/>
        <w:rPr/>
      </w:pPr>
      <w:r>
        <w:rPr>
          <w:rStyle w:val="Domylnaczcionkaakapitu"/>
          <w:rFonts w:eastAsia="Times New Roman" w:cs="Times New Roman"/>
          <w:bCs/>
          <w:iCs/>
          <w:lang w:val="pl-PL"/>
        </w:rPr>
        <w:t xml:space="preserve">Zadanie pn.: </w:t>
      </w:r>
      <w:r>
        <w:rPr>
          <w:rStyle w:val="Domylnaczcionkaakapitu"/>
          <w:rFonts w:eastAsia="Times New Roman" w:cs="Times New Roman"/>
          <w:b/>
          <w:bCs/>
          <w:lang w:val="pl-PL"/>
        </w:rPr>
        <w:t>„Przebudowa nawierzchni placu zabaw przy Szkole Podstawowej nr 1 w Gołdapi”</w:t>
      </w:r>
    </w:p>
    <w:p>
      <w:pPr>
        <w:pStyle w:val="Normalny"/>
        <w:tabs>
          <w:tab w:val="clear" w:pos="706"/>
          <w:tab w:val="left" w:pos="407" w:leader="none"/>
          <w:tab w:val="left" w:pos="632" w:leader="none"/>
          <w:tab w:val="center" w:pos="16069" w:leader="none"/>
          <w:tab w:val="right" w:pos="20605" w:leader="none"/>
        </w:tabs>
        <w:spacing w:lineRule="atLeast" w:line="200"/>
        <w:jc w:val="both"/>
        <w:rPr>
          <w:rFonts w:eastAsia="Tahoma"/>
          <w:b/>
          <w:b/>
          <w:bCs/>
        </w:rPr>
      </w:pPr>
      <w:r>
        <w:rPr>
          <w:rFonts w:eastAsia="Tahoma"/>
          <w:b/>
          <w:bCs/>
        </w:rPr>
      </w:r>
    </w:p>
    <w:p>
      <w:pPr>
        <w:pStyle w:val="Normalny"/>
        <w:tabs>
          <w:tab w:val="clear" w:pos="706"/>
          <w:tab w:val="left" w:pos="394" w:leader="none"/>
          <w:tab w:val="left" w:pos="619" w:leader="none"/>
          <w:tab w:val="center" w:pos="16056" w:leader="none"/>
          <w:tab w:val="right" w:pos="20592" w:leader="none"/>
        </w:tabs>
        <w:spacing w:lineRule="atLeast" w:line="200"/>
        <w:ind w:left="13" w:hanging="13"/>
        <w:jc w:val="both"/>
        <w:rPr>
          <w:rFonts w:eastAsia="Tahoma"/>
          <w:b/>
          <w:b/>
          <w:bCs/>
          <w:u w:val="single"/>
        </w:rPr>
      </w:pPr>
      <w:r>
        <w:rPr>
          <w:rFonts w:eastAsia="Tahoma"/>
          <w:b/>
          <w:bCs/>
          <w:u w:val="single"/>
        </w:rPr>
        <w:t>I. Nazwa i adres Zamawiającego</w:t>
      </w:r>
    </w:p>
    <w:p>
      <w:pPr>
        <w:pStyle w:val="Normalny"/>
        <w:tabs>
          <w:tab w:val="clear" w:pos="706"/>
        </w:tabs>
        <w:ind w:left="720" w:hanging="0"/>
        <w:rPr/>
      </w:pPr>
      <w:r>
        <w:rPr/>
      </w:r>
    </w:p>
    <w:p>
      <w:pPr>
        <w:pStyle w:val="Normalny"/>
        <w:jc w:val="both"/>
        <w:rPr/>
      </w:pPr>
      <w:r>
        <w:rPr>
          <w:rStyle w:val="Domylnaczcionkaakapitu"/>
          <w:rFonts w:cs="Times New Roman"/>
          <w:b/>
          <w:color w:val="000000"/>
          <w:lang w:val="pl-PL"/>
        </w:rPr>
        <w:t>Szkoła Podstawowa nr 1 z Oddziałami Integracyjnymi im. Mikołaja Kopernika</w:t>
      </w:r>
      <w:r>
        <w:rPr>
          <w:rStyle w:val="Domylnaczcionkaakapitu"/>
          <w:rFonts w:cs="Times New Roman"/>
          <w:color w:val="000000"/>
          <w:lang w:val="pl-PL"/>
        </w:rPr>
        <w:t xml:space="preserve"> z siedzibą               w Gołdapi (19-500) przy ulicy Szkolnej 4 reprezentowana przez:</w:t>
      </w:r>
    </w:p>
    <w:p>
      <w:pPr>
        <w:pStyle w:val="Normalny"/>
        <w:rPr/>
      </w:pPr>
      <w:r>
        <w:rPr>
          <w:rStyle w:val="Domylnaczcionkaakapitu"/>
          <w:rFonts w:cs="Times New Roman"/>
          <w:b/>
          <w:color w:val="000000"/>
          <w:lang w:val="pl-PL"/>
        </w:rPr>
        <w:t xml:space="preserve">Sylwię Ostrowską – Dyrektora </w:t>
      </w:r>
    </w:p>
    <w:p>
      <w:pPr>
        <w:pStyle w:val="Normalny"/>
        <w:tabs>
          <w:tab w:val="clear" w:pos="706"/>
          <w:tab w:val="center" w:pos="6336" w:leader="none"/>
          <w:tab w:val="right" w:pos="10872" w:leader="none"/>
        </w:tabs>
        <w:spacing w:lineRule="atLeast" w:line="200"/>
        <w:rPr/>
      </w:pPr>
      <w:r>
        <w:rPr>
          <w:rStyle w:val="Domylnaczcionkaakapitu"/>
          <w:rFonts w:cs="Times New Roman"/>
          <w:b/>
          <w:bCs/>
          <w:color w:val="000000"/>
        </w:rPr>
        <w:t>NIP 847 10 60 425, REGON 001154478</w:t>
      </w:r>
      <w:r>
        <w:rPr>
          <w:rStyle w:val="Domylnaczcionkaakapitu"/>
          <w:rFonts w:cs="Times New Roman"/>
          <w:b/>
          <w:color w:val="000000"/>
        </w:rPr>
        <w:br/>
        <w:t xml:space="preserve">tel.  87 615 13 37,  87 615 01 19 </w:t>
      </w:r>
    </w:p>
    <w:p>
      <w:pPr>
        <w:pStyle w:val="Normalny"/>
        <w:tabs>
          <w:tab w:val="clear" w:pos="706"/>
          <w:tab w:val="center" w:pos="6336" w:leader="none"/>
          <w:tab w:val="right" w:pos="10872" w:leader="none"/>
        </w:tabs>
        <w:spacing w:lineRule="atLeast" w:line="200"/>
        <w:rPr/>
      </w:pPr>
      <w:r>
        <w:rPr>
          <w:rStyle w:val="Domylnaczcionkaakapitu"/>
          <w:rFonts w:cs="Times New Roman"/>
          <w:b/>
          <w:color w:val="000000"/>
          <w:lang w:val="pl-PL"/>
        </w:rPr>
        <w:t xml:space="preserve">e-mail: </w:t>
      </w:r>
      <w:hyperlink r:id="rId2" w:tgtFrame="_top">
        <w:r>
          <w:rPr>
            <w:rStyle w:val="Hipercze"/>
            <w:rFonts w:cs="Times New Roman"/>
            <w:lang w:val="pl-PL"/>
          </w:rPr>
          <w:t>sp1goldap@poczta.fm</w:t>
        </w:r>
      </w:hyperlink>
    </w:p>
    <w:p>
      <w:pPr>
        <w:pStyle w:val="Normalny"/>
        <w:tabs>
          <w:tab w:val="clear" w:pos="706"/>
          <w:tab w:val="center" w:pos="6336" w:leader="none"/>
          <w:tab w:val="right" w:pos="10872" w:leader="none"/>
        </w:tabs>
        <w:spacing w:lineRule="atLeast" w:line="200"/>
        <w:rPr/>
      </w:pPr>
      <w:r>
        <w:rPr>
          <w:rStyle w:val="Domylnaczcionkaakapitu"/>
          <w:rFonts w:cs="Times New Roman"/>
          <w:color w:val="000000"/>
          <w:lang w:val="pl-PL"/>
        </w:rPr>
        <w:t xml:space="preserve">adres strony internetowej: </w:t>
      </w:r>
      <w:hyperlink r:id="rId3" w:tgtFrame="_top">
        <w:r>
          <w:rPr>
            <w:rStyle w:val="Hipercze"/>
            <w:rFonts w:cs="Times New Roman"/>
            <w:lang w:val="pl-PL"/>
          </w:rPr>
          <w:t>www.sp1goldap.edu.pl</w:t>
        </w:r>
      </w:hyperlink>
      <w:r>
        <w:rPr>
          <w:rStyle w:val="Domylnaczcionkaakapitu"/>
          <w:rFonts w:cs="Times New Roman"/>
          <w:color w:val="000000"/>
          <w:lang w:val="pl-PL"/>
        </w:rPr>
        <w:t xml:space="preserve">, </w:t>
      </w:r>
      <w:hyperlink r:id="rId4" w:tgtFrame="_top">
        <w:r>
          <w:rPr>
            <w:rStyle w:val="Hipercze"/>
            <w:rFonts w:cs="Times New Roman"/>
            <w:lang w:val="pl-PL"/>
          </w:rPr>
          <w:t>http://bip.goldap.pl</w:t>
        </w:r>
      </w:hyperlink>
      <w:r>
        <w:rPr>
          <w:rStyle w:val="Domylnaczcionkaakapitu"/>
          <w:rFonts w:cs="Times New Roman"/>
          <w:color w:val="000000"/>
          <w:lang w:val="pl-PL"/>
        </w:rPr>
        <w:t xml:space="preserve"> </w:t>
      </w:r>
    </w:p>
    <w:p>
      <w:pPr>
        <w:pStyle w:val="Normalny"/>
        <w:tabs>
          <w:tab w:val="clear" w:pos="706"/>
          <w:tab w:val="center" w:pos="5616" w:leader="none"/>
          <w:tab w:val="right" w:pos="10152" w:leader="none"/>
        </w:tabs>
        <w:spacing w:lineRule="atLeast" w:line="200"/>
        <w:rPr>
          <w:lang w:val="pl-PL"/>
        </w:rPr>
      </w:pPr>
      <w:r>
        <w:rPr>
          <w:lang w:val="pl-PL"/>
        </w:rPr>
      </w:r>
    </w:p>
    <w:p>
      <w:pPr>
        <w:pStyle w:val="Normalny"/>
        <w:tabs>
          <w:tab w:val="clear" w:pos="706"/>
          <w:tab w:val="center" w:pos="5616" w:leader="none"/>
          <w:tab w:val="right" w:pos="10152" w:leader="none"/>
        </w:tabs>
        <w:spacing w:lineRule="atLeast" w:line="200"/>
        <w:jc w:val="both"/>
        <w:rPr/>
      </w:pPr>
      <w:r>
        <w:rPr>
          <w:rStyle w:val="Hipercze"/>
          <w:rFonts w:eastAsia="Times New Roman" w:cs="Times New Roman"/>
          <w:color w:val="000000"/>
          <w:highlight w:val="white"/>
          <w:lang w:val="pl-PL"/>
        </w:rPr>
        <w:t xml:space="preserve">Informacje związane z przedmiotowym postępowaniem udostępnione będą na stronie internetowej zamawiającego pod adresem: </w:t>
      </w:r>
      <w:hyperlink r:id="rId5" w:tgtFrame="_top">
        <w:r>
          <w:rPr>
            <w:rStyle w:val="Hipercze"/>
            <w:rFonts w:cs="Times New Roman"/>
            <w:lang w:val="pl-PL"/>
          </w:rPr>
          <w:t>www.sp1goldap.edu.pl</w:t>
        </w:r>
      </w:hyperlink>
      <w:r>
        <w:rPr>
          <w:rStyle w:val="Domylnaczcionkaakapitu"/>
          <w:rFonts w:cs="Times New Roman"/>
          <w:color w:val="000000"/>
          <w:lang w:val="pl-PL"/>
        </w:rPr>
        <w:t xml:space="preserve">, </w:t>
      </w:r>
      <w:hyperlink r:id="rId6" w:tgtFrame="_top">
        <w:r>
          <w:rPr>
            <w:rStyle w:val="Hipercze"/>
            <w:rFonts w:cs="Times New Roman"/>
            <w:lang w:val="pl-PL"/>
          </w:rPr>
          <w:t>http://bip.goldap.pl</w:t>
        </w:r>
      </w:hyperlink>
    </w:p>
    <w:p>
      <w:pPr>
        <w:pStyle w:val="Normalny"/>
        <w:tabs>
          <w:tab w:val="clear" w:pos="706"/>
          <w:tab w:val="left" w:pos="394" w:leader="none"/>
          <w:tab w:val="left" w:pos="619" w:leader="none"/>
          <w:tab w:val="center" w:pos="16056" w:leader="none"/>
          <w:tab w:val="right" w:pos="20592" w:leader="none"/>
        </w:tabs>
        <w:spacing w:lineRule="atLeast" w:line="200"/>
        <w:ind w:left="13" w:hanging="13"/>
        <w:rPr/>
      </w:pPr>
      <w:r>
        <w:rPr/>
      </w:r>
    </w:p>
    <w:p>
      <w:pPr>
        <w:pStyle w:val="Normalny"/>
        <w:tabs>
          <w:tab w:val="clear" w:pos="706"/>
          <w:tab w:val="left" w:pos="394" w:leader="none"/>
          <w:tab w:val="left" w:pos="619" w:leader="none"/>
          <w:tab w:val="center" w:pos="16056" w:leader="none"/>
          <w:tab w:val="right" w:pos="20592" w:leader="none"/>
        </w:tabs>
        <w:spacing w:lineRule="atLeast" w:line="200"/>
        <w:ind w:left="13" w:hanging="13"/>
        <w:rPr/>
      </w:pPr>
      <w:r>
        <w:rPr>
          <w:rStyle w:val="Mocnowyrniony"/>
          <w:u w:val="single"/>
        </w:rPr>
        <w:t>II. Informacje ogólne</w:t>
      </w:r>
    </w:p>
    <w:p>
      <w:pPr>
        <w:pStyle w:val="Normalny"/>
        <w:tabs>
          <w:tab w:val="clear" w:pos="706"/>
          <w:tab w:val="left" w:pos="394" w:leader="none"/>
          <w:tab w:val="left" w:pos="619" w:leader="none"/>
          <w:tab w:val="center" w:pos="16056" w:leader="none"/>
          <w:tab w:val="right" w:pos="20592" w:leader="none"/>
        </w:tabs>
        <w:spacing w:lineRule="atLeast" w:line="200"/>
        <w:ind w:left="13" w:hanging="13"/>
        <w:rPr/>
      </w:pPr>
      <w:r>
        <w:rPr/>
      </w:r>
    </w:p>
    <w:p>
      <w:pPr>
        <w:pStyle w:val="Tekst"/>
        <w:rPr>
          <w:rFonts w:ascii="Times New Roman" w:hAnsi="Times New Roman" w:eastAsia="Times New Roman" w:cs="Times New Roman"/>
          <w:color w:val="auto"/>
          <w:sz w:val="24"/>
          <w:szCs w:val="24"/>
          <w:lang w:val="pl-PL"/>
        </w:rPr>
      </w:pPr>
      <w:r>
        <w:rPr>
          <w:rFonts w:eastAsia="Times New Roman" w:cs="Times New Roman" w:ascii="Times New Roman" w:hAnsi="Times New Roman"/>
          <w:color w:val="auto"/>
          <w:sz w:val="24"/>
          <w:szCs w:val="24"/>
          <w:lang w:val="pl-PL"/>
        </w:rPr>
        <w:t xml:space="preserve">Niniejsze postępowanie o udzielenie zamówienia publicznego prowadzone jest w oparciu                         o Regulamin wydatkowania środków publicznych do 30 000 euro, a wartość szacunkowa niniejszego zadania nie przekracza wyrażonej w złotych równowartości 30 000 euro, dla których zgodnie                  z art. 4 pkt 8) przepisy Ustawy z dnia 29 stycznia 2004 r. Prawo zamówień publicznych                          (t.j.: Dz. U. z 2018 r. poz. 1896 ze zm.), nie mają zastosowania. </w:t>
      </w:r>
    </w:p>
    <w:p>
      <w:pPr>
        <w:pStyle w:val="Tekst"/>
        <w:rPr>
          <w:rFonts w:ascii="Times New Roman" w:hAnsi="Times New Roman" w:eastAsia="Times New Roman" w:cs="Times New Roman"/>
          <w:color w:val="auto"/>
          <w:sz w:val="24"/>
          <w:szCs w:val="24"/>
          <w:lang w:val="pl-PL"/>
        </w:rPr>
      </w:pPr>
      <w:r>
        <w:rPr>
          <w:rFonts w:eastAsia="Times New Roman" w:cs="Times New Roman" w:ascii="Times New Roman" w:hAnsi="Times New Roman"/>
          <w:color w:val="auto"/>
          <w:sz w:val="24"/>
          <w:szCs w:val="24"/>
          <w:lang w:val="pl-PL"/>
        </w:rPr>
      </w:r>
    </w:p>
    <w:p>
      <w:pPr>
        <w:pStyle w:val="Tekst"/>
        <w:rPr/>
      </w:pPr>
      <w:r>
        <w:rPr>
          <w:rStyle w:val="Domylnaczcionkaakapitu"/>
          <w:rFonts w:eastAsia="Times New Roman" w:cs="Times New Roman" w:ascii="Times New Roman" w:hAnsi="Times New Roman"/>
          <w:color w:val="auto"/>
          <w:sz w:val="24"/>
          <w:szCs w:val="24"/>
          <w:lang w:val="pl-PL"/>
        </w:rPr>
        <w:t xml:space="preserve">Niniejsze postępowanie o zamówienie publiczne jest jawne. </w:t>
      </w:r>
    </w:p>
    <w:p>
      <w:pPr>
        <w:pStyle w:val="Tekst"/>
        <w:rPr>
          <w:rFonts w:ascii="Times New Roman" w:hAnsi="Times New Roman" w:cs="Times New Roman"/>
          <w:sz w:val="24"/>
          <w:szCs w:val="24"/>
          <w:lang w:val="pl-PL"/>
        </w:rPr>
      </w:pPr>
      <w:r>
        <w:rPr>
          <w:rFonts w:cs="Times New Roman" w:ascii="Times New Roman" w:hAnsi="Times New Roman"/>
          <w:sz w:val="24"/>
          <w:szCs w:val="24"/>
          <w:lang w:val="pl-PL"/>
        </w:rPr>
      </w:r>
    </w:p>
    <w:p>
      <w:pPr>
        <w:pStyle w:val="Normal"/>
        <w:spacing w:lineRule="auto" w:line="276"/>
        <w:jc w:val="both"/>
        <w:rPr>
          <w:rFonts w:eastAsia="Times New Roman" w:cs="Times New Roman"/>
          <w:b/>
          <w:b/>
          <w:bCs/>
          <w:color w:val="000000"/>
          <w:lang w:val="pl-PL" w:bidi="ar-SA"/>
        </w:rPr>
      </w:pPr>
      <w:r>
        <w:rPr>
          <w:rFonts w:eastAsia="Times New Roman" w:cs="Times New Roman"/>
          <w:b/>
          <w:bCs/>
          <w:color w:val="000000"/>
          <w:lang w:val="pl-PL" w:bidi="ar-SA"/>
        </w:rPr>
        <w:t>Zamawiający zastrzega sobie możliwość zakończenia postępowania bez wyboru żadnej z ofert.</w:t>
      </w:r>
    </w:p>
    <w:p>
      <w:pPr>
        <w:pStyle w:val="Normal"/>
        <w:spacing w:lineRule="auto" w:line="276"/>
        <w:jc w:val="both"/>
        <w:rPr>
          <w:rFonts w:eastAsia="Times New Roman" w:cs="Times New Roman"/>
          <w:b/>
          <w:b/>
          <w:bCs/>
          <w:color w:val="000000"/>
          <w:lang w:val="pl-PL" w:bidi="ar-SA"/>
        </w:rPr>
      </w:pPr>
      <w:r>
        <w:rPr>
          <w:rFonts w:eastAsia="Times New Roman" w:cs="Times New Roman"/>
          <w:b/>
          <w:bCs/>
          <w:color w:val="000000"/>
          <w:lang w:val="pl-PL" w:bidi="ar-SA"/>
        </w:rPr>
      </w:r>
    </w:p>
    <w:p>
      <w:pPr>
        <w:pStyle w:val="Normalny"/>
        <w:widowControl/>
        <w:numPr>
          <w:ilvl w:val="0"/>
          <w:numId w:val="2"/>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auto"/>
        </w:rPr>
        <w:t>III. Opis przedmiotu zamówienia:</w:t>
      </w:r>
    </w:p>
    <w:p>
      <w:pPr>
        <w:pStyle w:val="Normalny"/>
        <w:widowControl/>
        <w:tabs>
          <w:tab w:val="clear" w:pos="706"/>
          <w:tab w:val="left" w:pos="0" w:leader="none"/>
          <w:tab w:val="left" w:pos="1440" w:leader="none"/>
          <w:tab w:val="center" w:pos="5616" w:leader="none"/>
          <w:tab w:val="right" w:pos="10152" w:leader="none"/>
        </w:tabs>
        <w:spacing w:lineRule="atLeast" w:line="200"/>
        <w:textAlignment w:val="auto"/>
        <w:rPr/>
      </w:pPr>
      <w:r>
        <w:rPr/>
      </w:r>
    </w:p>
    <w:p>
      <w:pPr>
        <w:pStyle w:val="Normalny"/>
        <w:widowControl/>
        <w:tabs>
          <w:tab w:val="clear" w:pos="706"/>
          <w:tab w:val="left" w:pos="0" w:leader="none"/>
          <w:tab w:val="left" w:pos="1440" w:leader="none"/>
          <w:tab w:val="center" w:pos="5616" w:leader="none"/>
          <w:tab w:val="right" w:pos="10152" w:leader="none"/>
        </w:tabs>
        <w:spacing w:lineRule="atLeast" w:line="200"/>
        <w:jc w:val="both"/>
        <w:textAlignment w:val="auto"/>
        <w:rPr/>
      </w:pPr>
      <w:r>
        <w:rPr>
          <w:rStyle w:val="Domylnaczcionkaakapitu"/>
          <w:rFonts w:eastAsia="Times New Roman" w:cs="Times New Roman"/>
          <w:color w:val="000000"/>
          <w:lang w:val="pl-PL"/>
        </w:rPr>
        <w:t>Przedmiotem zamówienia jest wymiana istniejących nawierzchni placu zabaw oraz wykonaniu nowych:</w:t>
      </w:r>
    </w:p>
    <w:p>
      <w:pPr>
        <w:pStyle w:val="Normal"/>
        <w:jc w:val="both"/>
        <w:rPr/>
      </w:pPr>
      <w:r>
        <w:rPr>
          <w:rStyle w:val="Domylnaczcionkaakapitu"/>
          <w:rFonts w:eastAsia="Times New Roman" w:cs="Times New Roman"/>
          <w:color w:val="000000"/>
          <w:lang w:val="pl-PL"/>
        </w:rPr>
        <w:t>- nawierzchni poliuretanowej wraz ze strefami bezpieczeństwa o powierzchni 303,3 m</w:t>
      </w:r>
      <w:r>
        <w:rPr>
          <w:rStyle w:val="Domylnaczcionkaakapitu"/>
          <w:rFonts w:eastAsia="Times New Roman" w:cs="Times New Roman"/>
          <w:color w:val="000000"/>
          <w:position w:val="24"/>
          <w:sz w:val="16"/>
          <w:lang w:val="pl-PL"/>
        </w:rPr>
        <w:t>2</w:t>
      </w:r>
      <w:r>
        <w:rPr>
          <w:rStyle w:val="Domylnaczcionkaakapitu"/>
          <w:rFonts w:eastAsia="Times New Roman" w:cs="Times New Roman"/>
          <w:color w:val="000000"/>
          <w:lang w:val="pl-PL"/>
        </w:rPr>
        <w:t>,</w:t>
      </w:r>
    </w:p>
    <w:p>
      <w:pPr>
        <w:pStyle w:val="Normal"/>
        <w:jc w:val="both"/>
        <w:rPr/>
      </w:pPr>
      <w:r>
        <w:rPr>
          <w:rStyle w:val="Domylnaczcionkaakapitu"/>
          <w:rFonts w:eastAsia="Times New Roman" w:cs="Times New Roman"/>
          <w:color w:val="000000"/>
          <w:lang w:val="pl-PL"/>
        </w:rPr>
        <w:t>- trawników ze sztucznej trawy o powierzchni 244,50 m</w:t>
      </w:r>
      <w:r>
        <w:rPr>
          <w:rStyle w:val="Domylnaczcionkaakapitu"/>
          <w:rFonts w:eastAsia="Times New Roman" w:cs="Times New Roman"/>
          <w:color w:val="000000"/>
          <w:position w:val="24"/>
          <w:sz w:val="16"/>
          <w:lang w:val="pl-PL"/>
        </w:rPr>
        <w:t>2</w:t>
      </w:r>
      <w:r>
        <w:rPr>
          <w:rStyle w:val="Domylnaczcionkaakapitu"/>
          <w:rFonts w:eastAsia="Times New Roman" w:cs="Times New Roman"/>
          <w:color w:val="000000"/>
          <w:lang w:val="pl-PL"/>
        </w:rPr>
        <w:t>,</w:t>
      </w:r>
    </w:p>
    <w:p>
      <w:pPr>
        <w:pStyle w:val="Normal"/>
        <w:jc w:val="both"/>
        <w:rPr/>
      </w:pPr>
      <w:r>
        <w:rPr>
          <w:rStyle w:val="Domylnaczcionkaakapitu"/>
          <w:rFonts w:eastAsia="Times New Roman" w:cs="Times New Roman"/>
          <w:color w:val="000000"/>
          <w:lang w:val="pl-PL"/>
        </w:rPr>
        <w:t>- ciągu pieszego z kostki brukowej betonowej o gr. 6 cm i powierzchni 11,80 m</w:t>
      </w:r>
      <w:r>
        <w:rPr>
          <w:rStyle w:val="Domylnaczcionkaakapitu"/>
          <w:rFonts w:eastAsia="Times New Roman" w:cs="Times New Roman"/>
          <w:color w:val="000000"/>
          <w:position w:val="24"/>
          <w:sz w:val="16"/>
          <w:lang w:val="pl-PL"/>
        </w:rPr>
        <w:t>2</w:t>
      </w:r>
      <w:r>
        <w:rPr>
          <w:rStyle w:val="Domylnaczcionkaakapitu"/>
          <w:rFonts w:eastAsia="Times New Roman" w:cs="Times New Roman"/>
          <w:color w:val="000000"/>
          <w:lang w:val="pl-PL"/>
        </w:rPr>
        <w:t xml:space="preserve">; </w:t>
      </w:r>
    </w:p>
    <w:p>
      <w:pPr>
        <w:pStyle w:val="Normal"/>
        <w:jc w:val="both"/>
        <w:rPr/>
      </w:pPr>
      <w:r>
        <w:rPr>
          <w:rStyle w:val="Domylnaczcionkaakapitu"/>
          <w:rFonts w:eastAsia="Times New Roman" w:cs="Times New Roman"/>
          <w:color w:val="000000"/>
          <w:lang w:val="pl-PL"/>
        </w:rPr>
        <w:t>Przewiduje się wykonanie nawierzchni syntetycznej bezpiecznej poliuretanowej i wylewanej, typu EPDM o grubości min. około 10 mm, ułożonej na warstwie SBR o grubości około 35 mm w ilości 201,4 m</w:t>
      </w:r>
      <w:r>
        <w:rPr>
          <w:rStyle w:val="Domylnaczcionkaakapitu"/>
          <w:rFonts w:eastAsia="Times New Roman" w:cs="Times New Roman"/>
          <w:color w:val="000000"/>
          <w:position w:val="24"/>
          <w:sz w:val="16"/>
          <w:lang w:val="pl-PL"/>
        </w:rPr>
        <w:t>2</w:t>
      </w:r>
      <w:r>
        <w:rPr>
          <w:rStyle w:val="Domylnaczcionkaakapitu"/>
          <w:rFonts w:eastAsia="Times New Roman" w:cs="Times New Roman"/>
          <w:color w:val="000000"/>
          <w:lang w:val="pl-PL"/>
        </w:rPr>
        <w:t xml:space="preserve"> i grubości około 60 mm w ilości 101,90 m</w:t>
      </w:r>
      <w:r>
        <w:rPr>
          <w:rStyle w:val="Domylnaczcionkaakapitu"/>
          <w:rFonts w:eastAsia="Times New Roman" w:cs="Times New Roman"/>
          <w:color w:val="000000"/>
          <w:position w:val="24"/>
          <w:sz w:val="16"/>
          <w:lang w:val="pl-PL"/>
        </w:rPr>
        <w:t>2</w:t>
      </w:r>
      <w:r>
        <w:rPr>
          <w:rStyle w:val="Domylnaczcionkaakapitu"/>
          <w:rFonts w:eastAsia="Times New Roman" w:cs="Times New Roman"/>
          <w:color w:val="000000"/>
          <w:lang w:val="pl-PL"/>
        </w:rPr>
        <w:t xml:space="preserve">, przy czym grubość warstwy SBR uzależniona zostanie od wysokości swobodnego upadku z urządzeń zabawowych. </w:t>
      </w:r>
    </w:p>
    <w:p>
      <w:pPr>
        <w:pStyle w:val="Normal"/>
        <w:jc w:val="both"/>
        <w:rPr>
          <w:rFonts w:eastAsia="Times New Roman" w:cs="Times New Roman"/>
          <w:color w:val="000000"/>
          <w:lang w:val="pl-PL"/>
        </w:rPr>
      </w:pPr>
      <w:r>
        <w:rPr>
          <w:rFonts w:eastAsia="Times New Roman" w:cs="Times New Roman"/>
          <w:color w:val="000000"/>
          <w:lang w:val="pl-PL"/>
        </w:rPr>
        <w:t xml:space="preserve">Dodatkowo ze względu na bardzo zły stan techniczny istniejących urządzeń zabawowych przewidziano ich wyminę na nowe urządzenia. </w:t>
      </w:r>
    </w:p>
    <w:p>
      <w:pPr>
        <w:pStyle w:val="Normal"/>
        <w:jc w:val="both"/>
        <w:rPr>
          <w:rFonts w:eastAsia="Times New Roman" w:cs="Times New Roman"/>
          <w:color w:val="000000"/>
          <w:lang w:val="pl-PL"/>
        </w:rPr>
      </w:pPr>
      <w:r>
        <w:rPr>
          <w:rFonts w:eastAsia="Times New Roman" w:cs="Times New Roman"/>
          <w:color w:val="000000"/>
          <w:lang w:val="pl-PL"/>
        </w:rPr>
        <w:t xml:space="preserve">Uwaga! Urządzenia zabawowe wskazane i wyszczególnione w dokumentacji – projekcie budowlanym, zostały już zamówione, a ich montażu dokona firma je dostarczająca w celu zachowania przewidzianych przez producenta okresów gwarancyjnych. </w:t>
      </w:r>
    </w:p>
    <w:p>
      <w:pPr>
        <w:pStyle w:val="Normal"/>
        <w:jc w:val="both"/>
        <w:rPr>
          <w:rFonts w:eastAsia="Times New Roman" w:cs="Times New Roman"/>
          <w:color w:val="000000"/>
          <w:lang w:val="pl-PL"/>
        </w:rPr>
      </w:pPr>
      <w:r>
        <w:rPr>
          <w:rFonts w:eastAsia="Times New Roman" w:cs="Times New Roman"/>
          <w:color w:val="000000"/>
          <w:lang w:val="pl-PL"/>
        </w:rPr>
        <w:t xml:space="preserve">Wobec powyższego przedmiotem zamówienia będzie przygotowanie posadowienia, tj.: wykonanie fundamentów pod wskazane w dokumentacji urządzenia zabawowe. </w:t>
      </w:r>
    </w:p>
    <w:p>
      <w:pPr>
        <w:pStyle w:val="Normal"/>
        <w:jc w:val="both"/>
        <w:rPr>
          <w:rFonts w:eastAsia="Times New Roman" w:cs="Times New Roman"/>
          <w:color w:val="000000"/>
          <w:lang w:val="pl-PL"/>
        </w:rPr>
      </w:pPr>
      <w:r>
        <w:rPr>
          <w:rFonts w:eastAsia="Times New Roman" w:cs="Times New Roman"/>
          <w:color w:val="000000"/>
          <w:lang w:val="pl-PL"/>
        </w:rPr>
      </w:r>
    </w:p>
    <w:p>
      <w:pPr>
        <w:pStyle w:val="Normal"/>
        <w:autoSpaceDE w:val="false"/>
        <w:jc w:val="both"/>
        <w:rPr>
          <w:rFonts w:eastAsia="CourierNewRegular" w:cs="Times New Roman"/>
          <w:color w:val="000000"/>
          <w:lang w:val="pl-PL"/>
        </w:rPr>
      </w:pPr>
      <w:r>
        <w:rPr>
          <w:rFonts w:eastAsia="CourierNewRegular" w:cs="Times New Roman"/>
          <w:color w:val="000000"/>
          <w:lang w:val="pl-PL"/>
        </w:rPr>
        <w:t>Inwestycja realizowana będzie na działce o nr. geodezyjnym: 899 obręb 2 Gołdap, położonej                   w Gołdapi na posesji Szkoły Podstawowej nr 1.</w:t>
      </w:r>
    </w:p>
    <w:p>
      <w:pPr>
        <w:pStyle w:val="Normal"/>
        <w:autoSpaceDE w:val="false"/>
        <w:jc w:val="both"/>
        <w:rPr>
          <w:rFonts w:eastAsia="CourierNewRegular" w:cs="Times New Roman"/>
          <w:color w:val="000000"/>
          <w:lang w:val="pl-PL"/>
        </w:rPr>
      </w:pPr>
      <w:r>
        <w:rPr>
          <w:rFonts w:eastAsia="CourierNewRegular" w:cs="Times New Roman"/>
          <w:color w:val="000000"/>
          <w:lang w:val="pl-PL"/>
        </w:rPr>
      </w:r>
    </w:p>
    <w:p>
      <w:pPr>
        <w:pStyle w:val="Normal"/>
        <w:autoSpaceDE w:val="false"/>
        <w:jc w:val="both"/>
        <w:rPr/>
      </w:pPr>
      <w:r>
        <w:rPr>
          <w:rStyle w:val="Domylnaczcionkaakapitu"/>
          <w:rFonts w:eastAsia="CourierNewRegular" w:cs="Times New Roman"/>
          <w:color w:val="000000"/>
          <w:lang w:val="pl-PL"/>
        </w:rPr>
        <w:t>Kategoria obiektu budowlanego V</w:t>
      </w:r>
    </w:p>
    <w:p>
      <w:pPr>
        <w:pStyle w:val="Normal"/>
        <w:autoSpaceDE w:val="false"/>
        <w:rPr>
          <w:rFonts w:eastAsia="CourierNewRegular" w:cs="Times New Roman"/>
          <w:color w:val="000000"/>
          <w:lang w:val="pl-PL" w:bidi="ar-SA"/>
        </w:rPr>
      </w:pPr>
      <w:r>
        <w:rPr>
          <w:rFonts w:eastAsia="CourierNewRegular" w:cs="Times New Roman"/>
          <w:color w:val="000000"/>
          <w:lang w:val="pl-PL" w:bidi="ar-SA"/>
        </w:rPr>
      </w:r>
    </w:p>
    <w:p>
      <w:pPr>
        <w:pStyle w:val="Normal"/>
        <w:jc w:val="both"/>
        <w:rPr/>
      </w:pPr>
      <w:r>
        <w:rPr>
          <w:rStyle w:val="Domylnaczcionkaakapitu"/>
          <w:rFonts w:eastAsia="Times New Roman" w:cs="Times New Roman"/>
          <w:color w:val="000000"/>
          <w:lang w:val="pl-PL" w:bidi="ar-SA"/>
        </w:rPr>
        <w:t xml:space="preserve">Szczegółowy zakres przedmiotu zamówienia określony został w projekcie budowlanym, przedmiarze robót oraz SST, stanowiących odpowiednio </w:t>
      </w:r>
      <w:r>
        <w:rPr>
          <w:rStyle w:val="Domylnaczcionkaakapitu"/>
          <w:rFonts w:eastAsia="Times New Roman" w:cs="Times New Roman"/>
          <w:b/>
          <w:bCs/>
          <w:color w:val="000000"/>
          <w:lang w:val="pl-PL" w:bidi="ar-SA"/>
        </w:rPr>
        <w:t>załączniki nr 2, 3 i 4</w:t>
      </w:r>
      <w:r>
        <w:rPr>
          <w:rStyle w:val="Domylnaczcionkaakapitu"/>
          <w:rFonts w:eastAsia="Times New Roman" w:cs="Times New Roman"/>
          <w:color w:val="000000"/>
          <w:lang w:val="pl-PL" w:bidi="ar-SA"/>
        </w:rPr>
        <w:t xml:space="preserve"> do zapytania ofertowego (przy czym przedmiar robót stanowi wyłącznie elementy pomocniczy, poglądowy, wspomagający wycenę robót budowlanych).</w:t>
      </w:r>
    </w:p>
    <w:p>
      <w:pPr>
        <w:pStyle w:val="Text"/>
        <w:rPr>
          <w:rFonts w:ascii="Times New Roman" w:hAnsi="Times New Roman" w:eastAsia="Lucida Sans Unicode" w:cs="Times New Roman"/>
          <w:color w:val="auto"/>
          <w:sz w:val="24"/>
          <w:szCs w:val="24"/>
          <w:lang w:val="pl-PL"/>
        </w:rPr>
      </w:pPr>
      <w:r>
        <w:rPr>
          <w:rFonts w:eastAsia="Lucida Sans Unicode" w:cs="Times New Roman" w:ascii="Times New Roman" w:hAnsi="Times New Roman"/>
          <w:color w:val="auto"/>
          <w:sz w:val="24"/>
          <w:szCs w:val="24"/>
          <w:lang w:val="pl-PL"/>
        </w:rPr>
      </w:r>
    </w:p>
    <w:p>
      <w:pPr>
        <w:pStyle w:val="Text"/>
        <w:rPr/>
      </w:pPr>
      <w:r>
        <w:rPr>
          <w:rStyle w:val="Domylnaczcionkaakapitu"/>
          <w:rFonts w:eastAsia="Lucida Sans Unicode" w:cs="Times New Roman" w:ascii="Times New Roman" w:hAnsi="Times New Roman"/>
          <w:color w:val="auto"/>
          <w:sz w:val="24"/>
          <w:szCs w:val="24"/>
          <w:lang w:val="pl-PL"/>
        </w:rPr>
        <w:t>Zamawiający dopuszcza oferowanie materiałów lub rozwiązań równoważnych pod warunkiem, że zagwarantują one realizację robót zgodnie z obowiązującymi przepisami prawa oraz zapewnią uzyskanie parametrów nie gorszych od założonych. Jeżeli w dokumentach udostępnionych przez Zamawiającego wskazane są znaki towarowe, patenty, technologie lub źródła pochodzenia materiałów służących do realizacji przedmiotu zamówienia - wszystkie takie nazwy ka</w:t>
      </w:r>
      <w:r>
        <w:rPr>
          <w:rStyle w:val="Domylnaczcionkaakapitu"/>
          <w:rFonts w:cs="Times New Roman" w:ascii="Times New Roman" w:hAnsi="Times New Roman"/>
          <w:color w:val="auto"/>
          <w:sz w:val="24"/>
          <w:szCs w:val="24"/>
          <w:lang w:val="pl-PL"/>
        </w:rPr>
        <w:t>żdorazowo należy czytać z klauzulą „lub równoważne" o takich samych lub nie gorszych parametrach technicznych, jakościowych, funkcjonalnych oraz estetycznych</w:t>
      </w:r>
      <w:r>
        <w:rPr>
          <w:rStyle w:val="Domylnaczcionkaakapitu"/>
          <w:rFonts w:eastAsia="Lucida Sans Unicode" w:cs="Times New Roman" w:ascii="Times New Roman" w:hAnsi="Times New Roman"/>
          <w:color w:val="auto"/>
          <w:sz w:val="24"/>
          <w:szCs w:val="24"/>
          <w:lang w:val="pl-PL"/>
        </w:rPr>
        <w:t xml:space="preserve">, a Wykonawca w takiej sytuacji może zastosować rozwiązania równoważne. Obowiązek ewentualnego udowodnienia porównywalności cech jakościowych proponowanych do zastosowania rozwiązań równoważnych ciąży na Wykonawcy. Podstawą porównania będą parametry jakościowe określone w polskich normach, atestach, certyfikatach, aprobatach technicznych, specyfikacjach technicznych, itp.  </w:t>
      </w:r>
    </w:p>
    <w:p>
      <w:pPr>
        <w:pStyle w:val="Normal"/>
        <w:spacing w:lineRule="atLeast" w:line="200"/>
        <w:jc w:val="both"/>
        <w:rPr>
          <w:rFonts w:eastAsia="Times New Roman" w:cs="Times New Roman"/>
          <w:color w:val="000000"/>
          <w:lang w:val="pl-PL" w:bidi="ar-SA"/>
        </w:rPr>
      </w:pPr>
      <w:r>
        <w:rPr>
          <w:rFonts w:eastAsia="Times New Roman" w:cs="Times New Roman"/>
          <w:color w:val="000000"/>
          <w:lang w:val="pl-PL" w:bidi="ar-SA"/>
        </w:rPr>
        <w:t>Zamawiający proponuje, aby potencjalni Wykonawcy zapoznali się z miejscem budowy celem sprawdzenia warunków placu budowy, warunków związanych z wykonaniem prac będących przedmiotem zamówienia oraz celem uzyskania dodatkowych informacji przydatnych do oceny prac.</w:t>
      </w:r>
    </w:p>
    <w:p>
      <w:pPr>
        <w:pStyle w:val="Normal"/>
        <w:spacing w:lineRule="atLeast" w:line="200"/>
        <w:jc w:val="both"/>
        <w:rPr>
          <w:rFonts w:eastAsia="Times New Roman" w:cs="Times New Roman"/>
          <w:color w:val="000000"/>
          <w:lang w:val="pl-PL" w:bidi="ar-SA"/>
        </w:rPr>
      </w:pPr>
      <w:r>
        <w:rPr>
          <w:rFonts w:eastAsia="Times New Roman" w:cs="Times New Roman"/>
          <w:color w:val="000000"/>
          <w:lang w:val="pl-PL" w:bidi="ar-SA"/>
        </w:rPr>
        <w:t xml:space="preserve">Wykonawca zobowiązany będzie do wykonania przedmiotu zamówienia z należytą starannością, zgodnie z obowiązującymi normami i przepisami prawa, zasadami współczesnej wiedzy technicznej i uzgodnieniami dokonanymi w trakcie realizacji robót.  </w:t>
      </w:r>
    </w:p>
    <w:p>
      <w:pPr>
        <w:pStyle w:val="Normal"/>
        <w:spacing w:lineRule="atLeast" w:line="200"/>
        <w:jc w:val="both"/>
        <w:rPr>
          <w:rFonts w:eastAsia="Times New Roman" w:cs="Times New Roman"/>
          <w:color w:val="000000"/>
          <w:lang w:val="pl-PL" w:bidi="ar-SA"/>
        </w:rPr>
      </w:pPr>
      <w:r>
        <w:rPr>
          <w:rFonts w:eastAsia="Times New Roman" w:cs="Times New Roman"/>
          <w:color w:val="000000"/>
          <w:lang w:val="pl-PL" w:bidi="ar-SA"/>
        </w:rPr>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W ramach wykonywania robót budowlanych, Wykonawca zobowiązany będzie do:</w:t>
      </w:r>
    </w:p>
    <w:p>
      <w:pPr>
        <w:pStyle w:val="Text"/>
        <w:numPr>
          <w:ilvl w:val="0"/>
          <w:numId w:val="1"/>
        </w:numPr>
        <w:rPr>
          <w:rFonts w:ascii="Times New Roman" w:hAnsi="Times New Roman" w:cs="Times New Roman"/>
          <w:sz w:val="24"/>
          <w:szCs w:val="24"/>
        </w:rPr>
      </w:pPr>
      <w:r>
        <w:rPr>
          <w:rFonts w:cs="Times New Roman" w:ascii="Times New Roman" w:hAnsi="Times New Roman"/>
          <w:sz w:val="24"/>
          <w:szCs w:val="24"/>
        </w:rPr>
        <w:t>ustanowienia kierownika robót budowlanych branży drogowej,</w:t>
      </w:r>
    </w:p>
    <w:p>
      <w:pPr>
        <w:pStyle w:val="Text"/>
        <w:numPr>
          <w:ilvl w:val="0"/>
          <w:numId w:val="1"/>
        </w:numPr>
        <w:rPr>
          <w:rFonts w:ascii="Times New Roman" w:hAnsi="Times New Roman" w:cs="Times New Roman"/>
          <w:sz w:val="24"/>
          <w:szCs w:val="24"/>
          <w:lang w:val="pl-PL"/>
        </w:rPr>
      </w:pPr>
      <w:r>
        <w:rPr>
          <w:rFonts w:cs="Times New Roman" w:ascii="Times New Roman" w:hAnsi="Times New Roman"/>
          <w:sz w:val="24"/>
          <w:szCs w:val="24"/>
          <w:lang w:val="pl-PL"/>
        </w:rPr>
        <w:t>organizacji i zagospodarowania placu budowy m.in. utrzymania zaplecza budowy, podłączenia wody i energii elektrycznej, dozoru budowy, wywozu nieczystości itp.),</w:t>
      </w:r>
    </w:p>
    <w:p>
      <w:pPr>
        <w:pStyle w:val="Text"/>
        <w:numPr>
          <w:ilvl w:val="0"/>
          <w:numId w:val="1"/>
        </w:numPr>
        <w:rPr>
          <w:rFonts w:ascii="Times New Roman" w:hAnsi="Times New Roman" w:cs="Times New Roman"/>
          <w:sz w:val="24"/>
          <w:szCs w:val="24"/>
          <w:lang w:val="pl-PL"/>
        </w:rPr>
      </w:pPr>
      <w:r>
        <w:rPr>
          <w:rFonts w:cs="Times New Roman" w:ascii="Times New Roman" w:hAnsi="Times New Roman"/>
          <w:sz w:val="24"/>
          <w:szCs w:val="24"/>
          <w:lang w:val="pl-PL"/>
        </w:rPr>
        <w:t>utrzymania i likwidacji placu budowy, odtworzenie stanu pierwotnego dróg, dojazdów oraz terenu w rejonie prowadzonych robót,</w:t>
      </w:r>
    </w:p>
    <w:p>
      <w:pPr>
        <w:pStyle w:val="Text"/>
        <w:numPr>
          <w:ilvl w:val="0"/>
          <w:numId w:val="1"/>
        </w:numPr>
        <w:rPr>
          <w:rFonts w:ascii="Times New Roman" w:hAnsi="Times New Roman" w:cs="Times New Roman"/>
          <w:sz w:val="24"/>
          <w:szCs w:val="24"/>
          <w:lang w:val="pl-PL"/>
        </w:rPr>
      </w:pPr>
      <w:r>
        <w:rPr>
          <w:rFonts w:cs="Times New Roman" w:ascii="Times New Roman" w:hAnsi="Times New Roman"/>
          <w:sz w:val="24"/>
          <w:szCs w:val="24"/>
          <w:lang w:val="pl-PL"/>
        </w:rPr>
        <w:t>uporządkowania terenu po zakończeniu robót, itp.,</w:t>
      </w:r>
    </w:p>
    <w:p>
      <w:pPr>
        <w:pStyle w:val="Text"/>
        <w:numPr>
          <w:ilvl w:val="0"/>
          <w:numId w:val="1"/>
        </w:numPr>
        <w:rPr>
          <w:rFonts w:ascii="Times New Roman" w:hAnsi="Times New Roman" w:cs="Times New Roman"/>
          <w:sz w:val="24"/>
          <w:szCs w:val="24"/>
          <w:lang w:val="pl-PL"/>
        </w:rPr>
      </w:pPr>
      <w:r>
        <w:rPr>
          <w:rFonts w:cs="Times New Roman" w:ascii="Times New Roman" w:hAnsi="Times New Roman"/>
          <w:sz w:val="24"/>
          <w:szCs w:val="24"/>
          <w:lang w:val="pl-PL"/>
        </w:rPr>
        <w:t>ponoszenia opłat administracyjnych;</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r>
    </w:p>
    <w:p>
      <w:pPr>
        <w:pStyle w:val="Normalny"/>
        <w:tabs>
          <w:tab w:val="clear" w:pos="706"/>
          <w:tab w:val="left" w:pos="2160" w:leader="none"/>
          <w:tab w:val="center" w:pos="6336" w:leader="none"/>
          <w:tab w:val="right" w:pos="10872" w:leader="none"/>
        </w:tabs>
        <w:spacing w:lineRule="atLeast" w:line="200"/>
        <w:rPr>
          <w:b/>
          <w:b/>
          <w:bCs/>
          <w:u w:val="single"/>
        </w:rPr>
      </w:pPr>
      <w:r>
        <w:rPr>
          <w:b/>
          <w:bCs/>
          <w:u w:val="single"/>
        </w:rPr>
        <w:t>Oznaczenie wg Wspólnego Słownika Zamówień CPV</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 xml:space="preserve"> </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45400000-1 – Roboty wykończeniowe w zakresie obiektów budowlanych</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45233000-9 – Roboty w zakresie konstruowania, fundamentowania oraz wykonania nawierzchni autostrad, dróg</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45233200-1 – Roboty w zakresie różnych nawierzchni</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45110000-1 – Roboty w zakresie burzenia i rozbiórki obiektów budowlanych; roboty ziemne</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 xml:space="preserve">45100000-8 – Przygotowanie terenu pod budowę  </w:t>
      </w:r>
    </w:p>
    <w:p>
      <w:pPr>
        <w:pStyle w:val="Text"/>
        <w:rPr/>
      </w:pPr>
      <w:r>
        <w:rPr>
          <w:rStyle w:val="Domylnaczcionkaakapitu"/>
          <w:rFonts w:cs="Times New Roman" w:ascii="Times New Roman" w:hAnsi="Times New Roman"/>
          <w:sz w:val="24"/>
          <w:szCs w:val="24"/>
          <w:lang w:val="pl-PL"/>
        </w:rPr>
        <w:t xml:space="preserve">  </w:t>
      </w:r>
      <w:r>
        <w:rPr>
          <w:rStyle w:val="Domylnaczcionkaakapitu"/>
          <w:rFonts w:cs="Arial"/>
          <w:b/>
        </w:rPr>
        <w:t xml:space="preserve">                                                  </w:t>
      </w:r>
    </w:p>
    <w:p>
      <w:pPr>
        <w:pStyle w:val="Tekstpodstawowywcity"/>
        <w:spacing w:lineRule="atLeast" w:line="200"/>
        <w:ind w:left="0" w:hanging="0"/>
        <w:rPr>
          <w:rFonts w:ascii="Times New Roman" w:hAnsi="Times New Roman"/>
          <w:b/>
          <w:b/>
          <w:bCs/>
          <w:sz w:val="24"/>
          <w:szCs w:val="24"/>
          <w:u w:val="single"/>
        </w:rPr>
      </w:pPr>
      <w:r>
        <w:rPr>
          <w:rFonts w:ascii="Times New Roman" w:hAnsi="Times New Roman"/>
          <w:b/>
          <w:bCs/>
          <w:sz w:val="24"/>
          <w:szCs w:val="24"/>
          <w:u w:val="single"/>
        </w:rPr>
        <w:t>IV. Zamawiający nie dopuszcza składania ofert częściowych</w:t>
      </w:r>
    </w:p>
    <w:p>
      <w:pPr>
        <w:pStyle w:val="Tekstpodstawowywcity"/>
        <w:spacing w:lineRule="atLeast" w:line="200"/>
        <w:ind w:left="0" w:hanging="0"/>
        <w:rPr>
          <w:rFonts w:ascii="Times New Roman" w:hAnsi="Times New Roman"/>
          <w:b/>
          <w:b/>
          <w:bCs/>
          <w:sz w:val="24"/>
          <w:szCs w:val="24"/>
          <w:u w:val="single"/>
        </w:rPr>
      </w:pPr>
      <w:r>
        <w:rPr>
          <w:rFonts w:ascii="Times New Roman" w:hAnsi="Times New Roman"/>
          <w:b/>
          <w:bCs/>
          <w:sz w:val="24"/>
          <w:szCs w:val="24"/>
          <w:u w:val="single"/>
        </w:rPr>
      </w:r>
    </w:p>
    <w:p>
      <w:pPr>
        <w:pStyle w:val="Tekstpodstawowywcity"/>
        <w:spacing w:lineRule="atLeast" w:line="200"/>
        <w:ind w:left="0" w:hanging="0"/>
        <w:rPr>
          <w:rFonts w:ascii="Times New Roman" w:hAnsi="Times New Roman"/>
          <w:b/>
          <w:b/>
          <w:bCs/>
          <w:sz w:val="24"/>
          <w:szCs w:val="24"/>
          <w:u w:val="single"/>
        </w:rPr>
      </w:pPr>
      <w:r>
        <w:rPr>
          <w:rFonts w:ascii="Times New Roman" w:hAnsi="Times New Roman"/>
          <w:b/>
          <w:bCs/>
          <w:sz w:val="24"/>
          <w:szCs w:val="24"/>
          <w:u w:val="single"/>
        </w:rPr>
        <w:t>V. Zamawiający nie dopuszcza składania ofert wariantowych</w:t>
      </w:r>
    </w:p>
    <w:p>
      <w:pPr>
        <w:pStyle w:val="Normalny"/>
        <w:spacing w:lineRule="atLeast" w:line="200"/>
        <w:jc w:val="both"/>
        <w:rPr/>
      </w:pPr>
      <w:r>
        <w:rPr/>
      </w:r>
    </w:p>
    <w:p>
      <w:pPr>
        <w:pStyle w:val="Normalny"/>
        <w:spacing w:lineRule="atLeast" w:line="200"/>
        <w:jc w:val="both"/>
        <w:rPr>
          <w:b/>
          <w:b/>
          <w:bCs/>
          <w:u w:val="single"/>
        </w:rPr>
      </w:pPr>
      <w:r>
        <w:rPr>
          <w:b/>
          <w:bCs/>
          <w:u w:val="single"/>
        </w:rPr>
        <w:t>VI. Warunki udziału w postępowaniu oraz opis dokonywania oceny ich spełnienia</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r>
    </w:p>
    <w:p>
      <w:pPr>
        <w:pStyle w:val="Normal"/>
        <w:jc w:val="both"/>
        <w:rPr/>
      </w:pPr>
      <w:r>
        <w:rPr>
          <w:rStyle w:val="Domylnaczcionkaakapitu"/>
          <w:rFonts w:cs="Times New Roman"/>
          <w:lang w:val="pl-PL"/>
        </w:rPr>
        <w:t xml:space="preserve">O udzielenie zamówienia publicznego mogą ubiegać się Wykonawcy, którzy </w:t>
      </w:r>
      <w:r>
        <w:rPr>
          <w:rStyle w:val="Domylnaczcionkaakapitu"/>
          <w:rFonts w:cs="Times New Roman"/>
          <w:color w:val="000000"/>
          <w:lang w:val="pl-PL"/>
        </w:rPr>
        <w:t xml:space="preserve">dysponują minimum jedną osobą zdolną do wykonania niniejszego zamówienia i posiadającą </w:t>
      </w:r>
      <w:r>
        <w:rPr>
          <w:rStyle w:val="Domylnaczcionkaakapitu"/>
          <w:rFonts w:eastAsia="Times New Roman" w:cs="Times New Roman"/>
          <w:color w:val="000000"/>
          <w:lang w:val="pl-PL"/>
        </w:rPr>
        <w:t xml:space="preserve">uprawnienia budowlane              </w:t>
      </w:r>
      <w:r>
        <w:rPr>
          <w:rStyle w:val="Domylnaczcionkaakapitu"/>
          <w:rFonts w:eastAsia="Times New Roman" w:cs="Times New Roman"/>
          <w:lang w:bidi="ar-SA"/>
        </w:rPr>
        <w:t xml:space="preserve">w specjalności inżynieryjnej drogowej minimum w ograniczonym zakresie lub inne uprawnienia umożliwiające wykonywanie tych samych czynności, do wykonywania których w aktualnym stanie prawnym uprawniają uprawnienia budowlane w tej specjalności, </w:t>
      </w:r>
      <w:bookmarkStart w:id="0" w:name="_Hlk1564331"/>
      <w:bookmarkEnd w:id="0"/>
    </w:p>
    <w:p>
      <w:pPr>
        <w:pStyle w:val="Text"/>
        <w:rPr/>
      </w:pPr>
      <w:r>
        <w:rPr/>
      </w:r>
    </w:p>
    <w:p>
      <w:pPr>
        <w:pStyle w:val="Normalny"/>
        <w:widowControl/>
        <w:numPr>
          <w:ilvl w:val="0"/>
          <w:numId w:val="12"/>
        </w:numPr>
        <w:tabs>
          <w:tab w:val="clear" w:pos="706"/>
          <w:tab w:val="left" w:pos="0" w:leader="none"/>
          <w:tab w:val="left" w:pos="1440" w:leader="none"/>
          <w:tab w:val="center" w:pos="5616" w:leader="none"/>
          <w:tab w:val="right" w:pos="10152" w:leader="none"/>
        </w:tabs>
        <w:spacing w:lineRule="atLeast" w:line="200"/>
        <w:ind w:hanging="14"/>
        <w:textAlignment w:val="auto"/>
        <w:rPr/>
      </w:pPr>
      <w:r>
        <w:rPr>
          <w:rStyle w:val="Hipercze"/>
          <w:b/>
          <w:bCs/>
          <w:color w:val="000000"/>
        </w:rPr>
        <w:t>VII. Termin realizacji</w:t>
      </w:r>
    </w:p>
    <w:p>
      <w:pPr>
        <w:pStyle w:val="Normalny"/>
        <w:rPr>
          <w:color w:val="000000"/>
        </w:rPr>
      </w:pPr>
      <w:r>
        <w:rPr>
          <w:color w:val="000000"/>
        </w:rPr>
        <w:t>od dnia podpisania umowy do 31.10.2019 r.</w:t>
      </w:r>
    </w:p>
    <w:p>
      <w:pPr>
        <w:pStyle w:val="Normalny"/>
        <w:rPr/>
      </w:pPr>
      <w:r>
        <w:rPr/>
      </w:r>
    </w:p>
    <w:p>
      <w:pPr>
        <w:pStyle w:val="Tekstpodstawowywcity"/>
        <w:spacing w:lineRule="atLeast" w:line="200"/>
        <w:ind w:left="-14" w:hanging="0"/>
        <w:jc w:val="both"/>
        <w:rPr>
          <w:rFonts w:ascii="Times New Roman" w:hAnsi="Times New Roman"/>
          <w:b/>
          <w:b/>
          <w:bCs/>
          <w:sz w:val="24"/>
          <w:szCs w:val="24"/>
          <w:u w:val="single"/>
        </w:rPr>
      </w:pPr>
      <w:r>
        <w:rPr>
          <w:rFonts w:ascii="Times New Roman" w:hAnsi="Times New Roman"/>
          <w:b/>
          <w:bCs/>
          <w:sz w:val="24"/>
          <w:szCs w:val="24"/>
          <w:u w:val="single"/>
        </w:rPr>
        <w:t>VIII. Wymagane dokumenty:</w:t>
      </w:r>
    </w:p>
    <w:p>
      <w:pPr>
        <w:pStyle w:val="Tekstpodstawowywcity"/>
        <w:spacing w:lineRule="atLeast" w:line="200"/>
        <w:ind w:left="0" w:hanging="0"/>
        <w:jc w:val="both"/>
        <w:rPr>
          <w:rFonts w:ascii="Times New Roman" w:hAnsi="Times New Roman"/>
          <w:b/>
          <w:b/>
          <w:bCs/>
          <w:sz w:val="24"/>
          <w:szCs w:val="24"/>
          <w:u w:val="single"/>
        </w:rPr>
      </w:pPr>
      <w:r>
        <w:rPr>
          <w:rFonts w:ascii="Times New Roman" w:hAnsi="Times New Roman"/>
          <w:b/>
          <w:bCs/>
          <w:sz w:val="24"/>
          <w:szCs w:val="24"/>
          <w:u w:val="single"/>
        </w:rPr>
      </w:r>
    </w:p>
    <w:p>
      <w:pPr>
        <w:pStyle w:val="Tekstpodstawowywcity"/>
        <w:numPr>
          <w:ilvl w:val="0"/>
          <w:numId w:val="3"/>
        </w:numPr>
        <w:tabs>
          <w:tab w:val="left" w:pos="0" w:leader="none"/>
        </w:tabs>
        <w:spacing w:lineRule="atLeast" w:line="200"/>
        <w:ind w:left="284" w:hanging="284"/>
        <w:jc w:val="both"/>
        <w:rPr/>
      </w:pPr>
      <w:r>
        <w:rPr>
          <w:rStyle w:val="Domylnaczcionkaakapitu"/>
          <w:rFonts w:ascii="Times New Roman" w:hAnsi="Times New Roman"/>
          <w:sz w:val="24"/>
          <w:szCs w:val="24"/>
        </w:rPr>
        <w:t>oferta (</w:t>
      </w:r>
      <w:r>
        <w:rPr>
          <w:rStyle w:val="Domylnaczcionkaakapitu"/>
          <w:rFonts w:ascii="Times New Roman" w:hAnsi="Times New Roman"/>
          <w:b/>
          <w:bCs/>
          <w:sz w:val="24"/>
          <w:szCs w:val="24"/>
        </w:rPr>
        <w:t>załącznik nr 1</w:t>
      </w:r>
      <w:r>
        <w:rPr>
          <w:rStyle w:val="Domylnaczcionkaakapitu"/>
          <w:rFonts w:ascii="Times New Roman" w:hAnsi="Times New Roman"/>
          <w:sz w:val="24"/>
          <w:szCs w:val="24"/>
        </w:rPr>
        <w:t>)</w:t>
      </w:r>
    </w:p>
    <w:p>
      <w:pPr>
        <w:pStyle w:val="Tekstpodstawowywcity"/>
        <w:numPr>
          <w:ilvl w:val="0"/>
          <w:numId w:val="3"/>
        </w:numPr>
        <w:tabs>
          <w:tab w:val="left" w:pos="0" w:leader="none"/>
        </w:tabs>
        <w:spacing w:lineRule="atLeast" w:line="200"/>
        <w:ind w:left="284" w:hanging="284"/>
        <w:jc w:val="both"/>
        <w:rPr/>
      </w:pPr>
      <w:r>
        <w:rPr>
          <w:rStyle w:val="Domylnaczcionkaakapitu"/>
          <w:rFonts w:ascii="Times New Roman" w:hAnsi="Times New Roman"/>
          <w:color w:val="000000"/>
          <w:sz w:val="24"/>
          <w:szCs w:val="24"/>
        </w:rPr>
        <w:t xml:space="preserve">wykazu osób, skierowanych przez wykonawcę do realizacji zamówienia, odpowiedzialnych za nadzór nad robotami budowlanymi, wraz z informacjami na temat ich kwalifikacji zawodowych, uprawnień, doświadczenia i wykształcenia niezbędnych do wykonania zamówienia publicznego, a także zakresu wykonywanych przez nich czynności oraz informację o podstawie do dysponowania tymi osobami - </w:t>
      </w:r>
      <w:r>
        <w:rPr>
          <w:rStyle w:val="Domylnaczcionkaakapitu"/>
          <w:rFonts w:ascii="Times New Roman" w:hAnsi="Times New Roman"/>
          <w:sz w:val="24"/>
          <w:szCs w:val="24"/>
          <w:highlight w:val="white"/>
        </w:rPr>
        <w:t xml:space="preserve">przedstawiony na </w:t>
      </w:r>
      <w:r>
        <w:rPr>
          <w:rStyle w:val="Domylnaczcionkaakapitu"/>
          <w:rFonts w:ascii="Times New Roman" w:hAnsi="Times New Roman"/>
          <w:b/>
          <w:bCs/>
          <w:sz w:val="24"/>
          <w:szCs w:val="24"/>
          <w:u w:val="single"/>
        </w:rPr>
        <w:t>załączniku nr 6</w:t>
      </w:r>
      <w:r>
        <w:rPr>
          <w:rStyle w:val="Domylnaczcionkaakapitu"/>
          <w:rFonts w:ascii="Times New Roman" w:hAnsi="Times New Roman"/>
          <w:sz w:val="24"/>
          <w:szCs w:val="24"/>
        </w:rPr>
        <w:t xml:space="preserve"> do zapytania ofertowego</w:t>
      </w:r>
    </w:p>
    <w:p>
      <w:pPr>
        <w:pStyle w:val="Tekstpodstawowywcity"/>
        <w:tabs>
          <w:tab w:val="left" w:pos="0" w:leader="none"/>
        </w:tabs>
        <w:spacing w:lineRule="atLeast" w:line="200"/>
        <w:ind w:left="284" w:hanging="0"/>
        <w:jc w:val="both"/>
        <w:rPr>
          <w:rFonts w:ascii="Times New Roman" w:hAnsi="Times New Roman"/>
          <w:sz w:val="24"/>
          <w:szCs w:val="24"/>
        </w:rPr>
      </w:pPr>
      <w:r>
        <w:rPr>
          <w:rFonts w:ascii="Times New Roman" w:hAnsi="Times New Roman"/>
          <w:sz w:val="24"/>
          <w:szCs w:val="24"/>
        </w:rPr>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W toku badania i oceny ofert Zamawiający może żądać od wykonawców wyjaśnień dotyczących treści złożonych ofert.</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 xml:space="preserve">Jeżeli wykonawca nie złożył wymaganych dokumentów lub oświadczeń o których mowa powyżej, oświadczeń lub dokumentów potwierdzających spełnienie warunków udziału w postępowaniu lub innych dokumentów niezbędnych do przeprowadzenia postępowania, oświadczenia lub dokumenty są niekompletne, zawierają błędy lub budzą wskazane przez zamawiającego wątpliwości, zamawiający wzywa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                     </w:t>
      </w:r>
    </w:p>
    <w:p>
      <w:pPr>
        <w:pStyle w:val="Text"/>
        <w:shd w:fill="FFFFFF" w:val="clear"/>
        <w:tabs>
          <w:tab w:val="clear" w:pos="706"/>
          <w:tab w:val="left" w:pos="-1" w:leader="none"/>
        </w:tabs>
        <w:spacing w:lineRule="atLeast" w:line="200"/>
        <w:rPr>
          <w:rFonts w:ascii="Times New Roman" w:hAnsi="Times New Roman" w:cs="Times New Roman"/>
          <w:sz w:val="24"/>
          <w:szCs w:val="24"/>
          <w:lang w:val="pl-PL"/>
        </w:rPr>
      </w:pPr>
      <w:r>
        <w:rPr>
          <w:rFonts w:cs="Times New Roman" w:ascii="Times New Roman" w:hAnsi="Times New Roman"/>
          <w:sz w:val="24"/>
          <w:szCs w:val="24"/>
          <w:lang w:val="pl-PL"/>
        </w:rPr>
      </w:r>
    </w:p>
    <w:p>
      <w:pPr>
        <w:pStyle w:val="Normalny"/>
        <w:tabs>
          <w:tab w:val="clear" w:pos="706"/>
          <w:tab w:val="center" w:pos="6336" w:leader="none"/>
          <w:tab w:val="right" w:pos="10872" w:leader="none"/>
        </w:tabs>
        <w:spacing w:lineRule="atLeast" w:line="200"/>
        <w:rPr/>
      </w:pPr>
      <w:r>
        <w:rPr>
          <w:rStyle w:val="Hipercze"/>
          <w:b/>
          <w:bCs/>
          <w:color w:val="000000"/>
        </w:rPr>
        <w:t>IX. Kryteria oceny ofert:</w:t>
      </w:r>
    </w:p>
    <w:p>
      <w:pPr>
        <w:pStyle w:val="Normalny"/>
        <w:tabs>
          <w:tab w:val="clear" w:pos="706"/>
          <w:tab w:val="center" w:pos="5616" w:leader="none"/>
          <w:tab w:val="right" w:pos="10152" w:leader="none"/>
        </w:tabs>
        <w:spacing w:lineRule="atLeast" w:line="200"/>
        <w:ind w:left="720" w:hanging="351"/>
        <w:rPr/>
      </w:pPr>
      <w:r>
        <w:rPr>
          <w:rStyle w:val="Hipercze"/>
          <w:color w:val="000000"/>
          <w:u w:val="none"/>
        </w:rPr>
        <w:tab/>
      </w:r>
    </w:p>
    <w:p>
      <w:pPr>
        <w:pStyle w:val="Text"/>
        <w:rPr/>
      </w:pPr>
      <w:r>
        <w:rPr>
          <w:rStyle w:val="Domylnaczcionkaakapitu"/>
          <w:rFonts w:cs="Times New Roman" w:ascii="Times New Roman" w:hAnsi="Times New Roman"/>
          <w:sz w:val="24"/>
          <w:szCs w:val="24"/>
          <w:lang w:val="pl-PL"/>
        </w:rPr>
        <w:t xml:space="preserve">a) </w:t>
      </w:r>
      <w:r>
        <w:rPr>
          <w:rStyle w:val="Domylnaczcionkaakapitu"/>
          <w:rFonts w:cs="Times New Roman" w:ascii="Times New Roman" w:hAnsi="Times New Roman"/>
          <w:b/>
          <w:bCs/>
          <w:sz w:val="24"/>
          <w:szCs w:val="24"/>
          <w:lang w:val="pl-PL"/>
        </w:rPr>
        <w:t>Cena za wykonanie zamówienia - 80%</w:t>
      </w:r>
    </w:p>
    <w:p>
      <w:pPr>
        <w:pStyle w:val="Text"/>
        <w:rPr/>
      </w:pPr>
      <w:r>
        <w:rPr>
          <w:rStyle w:val="Domylnaczcionkaakapitu"/>
          <w:rFonts w:eastAsia="Tahoma" w:cs="Times New Roman" w:ascii="Times New Roman" w:hAnsi="Times New Roman"/>
          <w:color w:val="000000"/>
          <w:sz w:val="24"/>
          <w:szCs w:val="24"/>
          <w:lang w:val="pl-PL"/>
        </w:rPr>
        <w:t>Oferta o najniższej cenie brutto uzyska maksymalną ilość punktów tj.: 80 pkt., pozostałym Wykonawcom przyznana zostanie odpowiednio mniejsza (proporcjonalnie mniejsza) ilość punktów wg. wzoru</w:t>
      </w:r>
      <w:r>
        <w:rPr>
          <w:rStyle w:val="Domylnaczcionkaakapitu"/>
          <w:rFonts w:eastAsia="Times New Roman" w:cs="Times New Roman" w:ascii="Times New Roman" w:hAnsi="Times New Roman"/>
          <w:color w:val="000000"/>
          <w:sz w:val="24"/>
          <w:szCs w:val="24"/>
          <w:lang w:val="pl-PL"/>
        </w:rPr>
        <w:t>:</w:t>
      </w:r>
    </w:p>
    <w:p>
      <w:pPr>
        <w:pStyle w:val="Text"/>
        <w:jc w:val="center"/>
        <w:rPr>
          <w:rFonts w:ascii="Times New Roman" w:hAnsi="Times New Roman" w:cs="Times New Roman"/>
          <w:sz w:val="24"/>
          <w:szCs w:val="24"/>
          <w:lang w:val="pl-PL"/>
        </w:rPr>
      </w:pPr>
      <w:r>
        <w:rPr>
          <w:rFonts w:cs="Times New Roman" w:ascii="Times New Roman" w:hAnsi="Times New Roman"/>
          <w:sz w:val="24"/>
          <w:szCs w:val="24"/>
          <w:lang w:val="pl-PL"/>
        </w:rPr>
        <w:t>(cena najniższa brutto : cena badanej oferty brutto) x 80 pkt</w:t>
      </w:r>
    </w:p>
    <w:p>
      <w:pPr>
        <w:pStyle w:val="Text"/>
        <w:jc w:val="center"/>
        <w:rPr>
          <w:rFonts w:ascii="Times New Roman" w:hAnsi="Times New Roman" w:cs="Times New Roman"/>
          <w:sz w:val="24"/>
          <w:szCs w:val="24"/>
          <w:lang w:val="pl-PL"/>
        </w:rPr>
      </w:pPr>
      <w:r>
        <w:rPr>
          <w:rFonts w:cs="Times New Roman" w:ascii="Times New Roman" w:hAnsi="Times New Roman"/>
          <w:sz w:val="24"/>
          <w:szCs w:val="24"/>
          <w:lang w:val="pl-PL"/>
        </w:rPr>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Ocena ofert dokonana będzie z dokładnością do 2 miejsc po przecinku, stosując zasadę matematyczną w zakresie zaokrąglania.</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r>
    </w:p>
    <w:p>
      <w:pPr>
        <w:pStyle w:val="Text"/>
        <w:rPr>
          <w:rFonts w:ascii="Times New Roman" w:hAnsi="Times New Roman" w:cs="Times New Roman"/>
          <w:b/>
          <w:b/>
          <w:bCs/>
          <w:sz w:val="24"/>
          <w:szCs w:val="24"/>
          <w:lang w:val="pl-PL"/>
        </w:rPr>
      </w:pPr>
      <w:r>
        <w:rPr>
          <w:rFonts w:cs="Times New Roman" w:ascii="Times New Roman" w:hAnsi="Times New Roman"/>
          <w:b/>
          <w:bCs/>
          <w:sz w:val="24"/>
          <w:szCs w:val="24"/>
          <w:lang w:val="pl-PL"/>
        </w:rPr>
        <w:t>b) gwarancja – 20%</w:t>
      </w:r>
    </w:p>
    <w:p>
      <w:pPr>
        <w:pStyle w:val="Tekst"/>
        <w:rPr>
          <w:rFonts w:ascii="Times New Roman" w:hAnsi="Times New Roman" w:cs="Times New Roman"/>
          <w:b/>
          <w:b/>
          <w:bCs/>
          <w:sz w:val="24"/>
          <w:szCs w:val="24"/>
        </w:rPr>
      </w:pPr>
      <w:r>
        <w:rPr>
          <w:rFonts w:cs="Times New Roman" w:ascii="Times New Roman" w:hAnsi="Times New Roman"/>
          <w:b/>
          <w:bCs/>
          <w:sz w:val="24"/>
          <w:szCs w:val="24"/>
        </w:rPr>
      </w:r>
    </w:p>
    <w:p>
      <w:pPr>
        <w:pStyle w:val="Tekst"/>
        <w:rPr>
          <w:rFonts w:ascii="Times New Roman" w:hAnsi="Times New Roman" w:cs="Times New Roman"/>
          <w:sz w:val="24"/>
          <w:szCs w:val="24"/>
        </w:rPr>
      </w:pPr>
      <w:r>
        <w:rPr>
          <w:rFonts w:cs="Times New Roman" w:ascii="Times New Roman" w:hAnsi="Times New Roman"/>
          <w:sz w:val="24"/>
          <w:szCs w:val="24"/>
        </w:rPr>
        <w:t>Oferta o najdłuższym okresie gwarancji uzyska maksymalną ilość punktów tj.: 20 pkt., pozostałym Wykonawcom przyznana zostanie odpowiednio mniejsza (proporcjonalnie mniejsza) ilość punktów wg. wzoru:</w:t>
      </w:r>
    </w:p>
    <w:p>
      <w:pPr>
        <w:pStyle w:val="Tekst"/>
        <w:rPr/>
      </w:pPr>
      <w:r>
        <w:rPr>
          <w:rStyle w:val="Domylnaczcionkaakapitu"/>
          <w:rFonts w:cs="Times New Roman" w:ascii="Times New Roman" w:hAnsi="Times New Roman"/>
          <w:sz w:val="24"/>
          <w:szCs w:val="24"/>
        </w:rPr>
        <w:t xml:space="preserve">                                      </w:t>
      </w:r>
    </w:p>
    <w:p>
      <w:pPr>
        <w:pStyle w:val="Tekst"/>
        <w:rPr/>
      </w:pPr>
      <w:r>
        <w:rPr>
          <w:rStyle w:val="Domylnaczcionkaakapitu"/>
          <w:rFonts w:eastAsia="Times New Roman" w:cs="Times New Roman" w:ascii="Times New Roman" w:hAnsi="Times New Roman"/>
          <w:color w:val="auto"/>
          <w:sz w:val="24"/>
          <w:szCs w:val="24"/>
          <w:lang w:val="pl-PL"/>
        </w:rPr>
        <w:t xml:space="preserve">                                      </w:t>
      </w:r>
      <w:r>
        <w:rPr>
          <w:rStyle w:val="Domylnaczcionkaakapitu"/>
          <w:rFonts w:eastAsia="Times New Roman" w:cs="Times New Roman" w:ascii="Times New Roman" w:hAnsi="Times New Roman"/>
          <w:color w:val="auto"/>
          <w:sz w:val="24"/>
          <w:szCs w:val="24"/>
          <w:lang w:val="pl-PL"/>
        </w:rPr>
        <w:t xml:space="preserve">Gwarancja oferowana </w:t>
        <w:tab/>
      </w:r>
    </w:p>
    <w:p>
      <w:pPr>
        <w:pStyle w:val="Tekst"/>
        <w:rPr/>
      </w:pPr>
      <w:r>
        <w:rPr>
          <w:rStyle w:val="Domylnaczcionkaakapitu"/>
          <w:rFonts w:cs="Times New Roman" w:ascii="Times New Roman" w:hAnsi="Times New Roman"/>
          <w:sz w:val="24"/>
          <w:szCs w:val="24"/>
        </w:rPr>
        <w:t>Gwarancja = ------------------------------------------------------- x 20 pkt</w:t>
      </w:r>
    </w:p>
    <w:p>
      <w:pPr>
        <w:pStyle w:val="Tekst"/>
        <w:rPr/>
      </w:pPr>
      <w:r>
        <w:rPr>
          <w:rStyle w:val="Domylnaczcionkaakapitu"/>
          <w:rFonts w:eastAsia="Times New Roman" w:cs="Times New Roman" w:ascii="Times New Roman" w:hAnsi="Times New Roman"/>
          <w:b/>
          <w:bCs/>
          <w:color w:val="auto"/>
          <w:sz w:val="24"/>
          <w:szCs w:val="24"/>
          <w:lang w:val="pl-PL"/>
        </w:rPr>
        <w:t xml:space="preserve">                        </w:t>
      </w:r>
      <w:r>
        <w:rPr>
          <w:rStyle w:val="Domylnaczcionkaakapitu"/>
          <w:rFonts w:eastAsia="Times New Roman" w:cs="Times New Roman" w:ascii="Times New Roman" w:hAnsi="Times New Roman"/>
          <w:b/>
          <w:bCs/>
          <w:color w:val="auto"/>
          <w:sz w:val="24"/>
          <w:szCs w:val="24"/>
          <w:lang w:val="pl-PL"/>
        </w:rPr>
        <w:t>Gwarancja maksymalna (tj.: 60 miesięcy)</w:t>
        <w:tab/>
      </w:r>
    </w:p>
    <w:p>
      <w:pPr>
        <w:pStyle w:val="Tekst"/>
        <w:rPr>
          <w:rFonts w:ascii="Times New Roman" w:hAnsi="Times New Roman" w:cs="Times New Roman"/>
          <w:sz w:val="24"/>
          <w:szCs w:val="24"/>
        </w:rPr>
      </w:pPr>
      <w:r>
        <w:rPr>
          <w:rFonts w:cs="Times New Roman" w:ascii="Times New Roman" w:hAnsi="Times New Roman"/>
          <w:sz w:val="24"/>
          <w:szCs w:val="24"/>
        </w:rPr>
      </w:r>
    </w:p>
    <w:p>
      <w:pPr>
        <w:pStyle w:val="Tekst"/>
        <w:rPr/>
      </w:pPr>
      <w:r>
        <w:rPr>
          <w:rStyle w:val="Domylnaczcionkaakapitu"/>
          <w:rFonts w:eastAsia="Times New Roman" w:cs="Times New Roman" w:ascii="Times New Roman" w:hAnsi="Times New Roman"/>
          <w:b/>
          <w:bCs/>
          <w:color w:val="auto"/>
          <w:sz w:val="24"/>
          <w:szCs w:val="24"/>
          <w:lang w:val="pl-PL"/>
        </w:rPr>
        <w:t xml:space="preserve">Najkrótszy </w:t>
      </w:r>
      <w:r>
        <w:rPr>
          <w:rStyle w:val="Domylnaczcionkaakapitu"/>
          <w:rFonts w:eastAsia="Times New Roman" w:cs="Times New Roman" w:ascii="Times New Roman" w:hAnsi="Times New Roman"/>
          <w:color w:val="auto"/>
          <w:sz w:val="24"/>
          <w:szCs w:val="24"/>
          <w:lang w:val="pl-PL"/>
        </w:rPr>
        <w:t>możliwy</w:t>
      </w:r>
      <w:r>
        <w:rPr>
          <w:rStyle w:val="Domylnaczcionkaakapitu"/>
          <w:rFonts w:eastAsia="Times New Roman" w:cs="Times New Roman" w:ascii="Times New Roman" w:hAnsi="Times New Roman"/>
          <w:b/>
          <w:bCs/>
          <w:color w:val="auto"/>
          <w:sz w:val="24"/>
          <w:szCs w:val="24"/>
          <w:lang w:val="pl-PL"/>
        </w:rPr>
        <w:t xml:space="preserve"> termin gwarancji </w:t>
      </w:r>
      <w:r>
        <w:rPr>
          <w:rStyle w:val="Domylnaczcionkaakapitu"/>
          <w:rFonts w:eastAsia="Times New Roman" w:cs="Times New Roman" w:ascii="Times New Roman" w:hAnsi="Times New Roman"/>
          <w:color w:val="auto"/>
          <w:sz w:val="24"/>
          <w:szCs w:val="24"/>
          <w:lang w:val="pl-PL"/>
        </w:rPr>
        <w:t>wymagany przez Zamawiającego</w:t>
      </w:r>
      <w:r>
        <w:rPr>
          <w:rStyle w:val="Domylnaczcionkaakapitu"/>
          <w:rFonts w:eastAsia="Times New Roman" w:cs="Times New Roman" w:ascii="Times New Roman" w:hAnsi="Times New Roman"/>
          <w:b/>
          <w:bCs/>
          <w:color w:val="auto"/>
          <w:sz w:val="24"/>
          <w:szCs w:val="24"/>
          <w:lang w:val="pl-PL"/>
        </w:rPr>
        <w:t xml:space="preserve"> – 36 miesięcy</w:t>
      </w:r>
    </w:p>
    <w:p>
      <w:pPr>
        <w:pStyle w:val="Tekst"/>
        <w:rPr/>
      </w:pPr>
      <w:r>
        <w:rPr>
          <w:rStyle w:val="Domylnaczcionkaakapitu"/>
          <w:rFonts w:eastAsia="Times New Roman" w:cs="Times New Roman" w:ascii="Times New Roman" w:hAnsi="Times New Roman"/>
          <w:b/>
          <w:bCs/>
          <w:color w:val="auto"/>
          <w:sz w:val="24"/>
          <w:szCs w:val="24"/>
          <w:lang w:val="pl-PL"/>
        </w:rPr>
        <w:t xml:space="preserve">Najdłuższy </w:t>
      </w:r>
      <w:r>
        <w:rPr>
          <w:rStyle w:val="Domylnaczcionkaakapitu"/>
          <w:rFonts w:eastAsia="Times New Roman" w:cs="Times New Roman" w:ascii="Times New Roman" w:hAnsi="Times New Roman"/>
          <w:color w:val="auto"/>
          <w:sz w:val="24"/>
          <w:szCs w:val="24"/>
          <w:lang w:val="pl-PL"/>
        </w:rPr>
        <w:t>możliwy</w:t>
      </w:r>
      <w:r>
        <w:rPr>
          <w:rStyle w:val="Domylnaczcionkaakapitu"/>
          <w:rFonts w:eastAsia="Times New Roman" w:cs="Times New Roman" w:ascii="Times New Roman" w:hAnsi="Times New Roman"/>
          <w:b/>
          <w:bCs/>
          <w:color w:val="auto"/>
          <w:sz w:val="24"/>
          <w:szCs w:val="24"/>
          <w:lang w:val="pl-PL"/>
        </w:rPr>
        <w:t xml:space="preserve"> termin gwarancji </w:t>
      </w:r>
      <w:r>
        <w:rPr>
          <w:rStyle w:val="Domylnaczcionkaakapitu"/>
          <w:rFonts w:eastAsia="Times New Roman" w:cs="Times New Roman" w:ascii="Times New Roman" w:hAnsi="Times New Roman"/>
          <w:color w:val="auto"/>
          <w:sz w:val="24"/>
          <w:szCs w:val="24"/>
          <w:lang w:val="pl-PL"/>
        </w:rPr>
        <w:t xml:space="preserve">wymagany przez Zamawiającego, a który będzie uwzględniany przy ocenie ofert </w:t>
      </w:r>
      <w:r>
        <w:rPr>
          <w:rStyle w:val="Domylnaczcionkaakapitu"/>
          <w:rFonts w:eastAsia="Times New Roman" w:cs="Times New Roman" w:ascii="Times New Roman" w:hAnsi="Times New Roman"/>
          <w:b/>
          <w:bCs/>
          <w:color w:val="auto"/>
          <w:sz w:val="24"/>
          <w:szCs w:val="24"/>
          <w:lang w:val="pl-PL"/>
        </w:rPr>
        <w:t>– 60 miesięcy</w:t>
      </w:r>
    </w:p>
    <w:p>
      <w:pPr>
        <w:pStyle w:val="Tekst"/>
        <w:rPr/>
      </w:pPr>
      <w:r>
        <w:rPr>
          <w:rStyle w:val="Domylnaczcionkaakapitu"/>
          <w:rFonts w:cs="Times New Roman" w:ascii="Times New Roman" w:hAnsi="Times New Roman"/>
          <w:sz w:val="24"/>
          <w:szCs w:val="24"/>
        </w:rPr>
        <w:t>UWAGA!</w:t>
      </w:r>
    </w:p>
    <w:p>
      <w:pPr>
        <w:pStyle w:val="Tekst"/>
        <w:rPr/>
      </w:pPr>
      <w:r>
        <w:rPr>
          <w:rStyle w:val="Domylnaczcionkaakapitu"/>
          <w:rFonts w:eastAsia="Times New Roman" w:cs="Times New Roman" w:ascii="Times New Roman" w:hAnsi="Times New Roman"/>
          <w:color w:val="auto"/>
          <w:sz w:val="24"/>
          <w:szCs w:val="24"/>
          <w:highlight w:val="white"/>
          <w:lang w:val="pl-PL"/>
        </w:rPr>
        <w:t xml:space="preserve">W przypadku zadeklarowania przez Wykonawcę okresu gwarancji na przedmiot zamówienia, </w:t>
      </w:r>
      <w:r>
        <w:rPr>
          <w:rStyle w:val="Domylnaczcionkaakapitu"/>
          <w:rFonts w:eastAsia="Times New Roman" w:cs="Times New Roman" w:ascii="Times New Roman" w:hAnsi="Times New Roman"/>
          <w:b/>
          <w:bCs/>
          <w:color w:val="auto"/>
          <w:sz w:val="24"/>
          <w:szCs w:val="24"/>
          <w:highlight w:val="white"/>
          <w:lang w:val="pl-PL"/>
        </w:rPr>
        <w:t>krótszego niż 36 miesięcy</w:t>
      </w:r>
      <w:r>
        <w:rPr>
          <w:rStyle w:val="Domylnaczcionkaakapitu"/>
          <w:rFonts w:eastAsia="Times New Roman" w:cs="Times New Roman" w:ascii="Times New Roman" w:hAnsi="Times New Roman"/>
          <w:color w:val="auto"/>
          <w:sz w:val="24"/>
          <w:szCs w:val="24"/>
          <w:highlight w:val="white"/>
          <w:lang w:val="pl-PL"/>
        </w:rPr>
        <w:t xml:space="preserve">, oferta w tym kryterium nie otrzyma punktów – </w:t>
      </w:r>
      <w:r>
        <w:rPr>
          <w:rStyle w:val="Domylnaczcionkaakapitu"/>
          <w:rFonts w:eastAsia="Times New Roman" w:cs="Times New Roman" w:ascii="Times New Roman" w:hAnsi="Times New Roman"/>
          <w:b/>
          <w:bCs/>
          <w:color w:val="auto"/>
          <w:sz w:val="24"/>
          <w:szCs w:val="24"/>
          <w:highlight w:val="white"/>
          <w:lang w:val="pl-PL"/>
        </w:rPr>
        <w:t xml:space="preserve">otrzyma 0 pkt. </w:t>
      </w:r>
    </w:p>
    <w:p>
      <w:pPr>
        <w:pStyle w:val="Tekst"/>
        <w:rPr/>
      </w:pPr>
      <w:r>
        <w:rPr>
          <w:rStyle w:val="Domylnaczcionkaakapitu"/>
          <w:rFonts w:eastAsia="Times New Roman" w:cs="Times New Roman" w:ascii="Times New Roman" w:hAnsi="Times New Roman"/>
          <w:color w:val="auto"/>
          <w:sz w:val="24"/>
          <w:szCs w:val="24"/>
          <w:highlight w:val="white"/>
          <w:lang w:val="pl-PL"/>
        </w:rPr>
        <w:t xml:space="preserve">W przypadku zadeklarowania przez Wykonawcę okresu gwarancji na przedmiot zamówienia, </w:t>
      </w:r>
      <w:r>
        <w:rPr>
          <w:rStyle w:val="Domylnaczcionkaakapitu"/>
          <w:rFonts w:eastAsia="Times New Roman" w:cs="Times New Roman" w:ascii="Times New Roman" w:hAnsi="Times New Roman"/>
          <w:b/>
          <w:bCs/>
          <w:color w:val="auto"/>
          <w:sz w:val="24"/>
          <w:szCs w:val="24"/>
          <w:highlight w:val="white"/>
          <w:lang w:val="pl-PL"/>
        </w:rPr>
        <w:t>dłuższego niż 60 miesięcy</w:t>
      </w:r>
      <w:r>
        <w:rPr>
          <w:rStyle w:val="Domylnaczcionkaakapitu"/>
          <w:rFonts w:eastAsia="Times New Roman" w:cs="Times New Roman" w:ascii="Times New Roman" w:hAnsi="Times New Roman"/>
          <w:color w:val="auto"/>
          <w:sz w:val="24"/>
          <w:szCs w:val="24"/>
          <w:highlight w:val="white"/>
          <w:lang w:val="pl-PL"/>
        </w:rPr>
        <w:t xml:space="preserve">, oferta w tym kryterium otrzyma maksymalną ilość punktów – </w:t>
      </w:r>
      <w:r>
        <w:rPr>
          <w:rStyle w:val="Domylnaczcionkaakapitu"/>
          <w:rFonts w:eastAsia="Times New Roman" w:cs="Times New Roman" w:ascii="Times New Roman" w:hAnsi="Times New Roman"/>
          <w:b/>
          <w:bCs/>
          <w:color w:val="auto"/>
          <w:sz w:val="24"/>
          <w:szCs w:val="24"/>
          <w:highlight w:val="white"/>
          <w:lang w:val="pl-PL"/>
        </w:rPr>
        <w:t xml:space="preserve">otrzyma 20 pkt.  </w:t>
      </w:r>
    </w:p>
    <w:p>
      <w:pPr>
        <w:pStyle w:val="Tekst"/>
        <w:rPr>
          <w:rFonts w:ascii="Times New Roman" w:hAnsi="Times New Roman" w:cs="Times New Roman"/>
          <w:sz w:val="24"/>
          <w:szCs w:val="24"/>
        </w:rPr>
      </w:pPr>
      <w:r>
        <w:rPr>
          <w:rFonts w:cs="Times New Roman" w:ascii="Times New Roman" w:hAnsi="Times New Roman"/>
          <w:sz w:val="24"/>
          <w:szCs w:val="24"/>
        </w:rPr>
        <w:t xml:space="preserve">Ocena ofert dokonana będzie z dokładnością do 2 miejsc po przecinku, stosując zasadę matematyczną w zakresie zaokrąglania. </w:t>
      </w:r>
    </w:p>
    <w:p>
      <w:pPr>
        <w:pStyle w:val="Tekst"/>
        <w:rPr>
          <w:rFonts w:ascii="Times New Roman" w:hAnsi="Times New Roman" w:cs="Times New Roman"/>
          <w:sz w:val="24"/>
          <w:szCs w:val="24"/>
        </w:rPr>
      </w:pPr>
      <w:r>
        <w:rPr>
          <w:rFonts w:cs="Times New Roman" w:ascii="Times New Roman" w:hAnsi="Times New Roman"/>
          <w:sz w:val="24"/>
          <w:szCs w:val="24"/>
        </w:rPr>
        <w:t>O wyborze najkorzystniejszej oferty decyduje największa ilość punktów uzyskanych w toku oceny oferty, które stanowić będą sumę punktów przyznanych w ramach każdego z podanych wyżej kryteriów oceny ofert.</w:t>
      </w:r>
    </w:p>
    <w:p>
      <w:pPr>
        <w:pStyle w:val="Text"/>
        <w:tabs>
          <w:tab w:val="clear" w:pos="706"/>
          <w:tab w:val="center" w:pos="6336" w:leader="none"/>
          <w:tab w:val="right" w:pos="10872" w:leader="none"/>
        </w:tabs>
        <w:spacing w:lineRule="atLeast" w:line="200"/>
        <w:rPr/>
      </w:pPr>
      <w:r>
        <w:rPr/>
      </w:r>
    </w:p>
    <w:p>
      <w:pPr>
        <w:pStyle w:val="Text"/>
        <w:tabs>
          <w:tab w:val="clear" w:pos="706"/>
          <w:tab w:val="left" w:pos="360" w:leader="none"/>
          <w:tab w:val="center" w:pos="4332" w:leader="none"/>
          <w:tab w:val="right" w:pos="8868" w:leader="none"/>
        </w:tabs>
        <w:spacing w:lineRule="atLeast" w:line="200"/>
        <w:rPr>
          <w:rFonts w:ascii="Times New Roman" w:hAnsi="Times New Roman" w:cs="Times New Roman"/>
          <w:b/>
          <w:b/>
          <w:bCs/>
          <w:sz w:val="24"/>
          <w:szCs w:val="24"/>
          <w:u w:val="single"/>
          <w:lang w:val="pl-PL"/>
        </w:rPr>
      </w:pPr>
      <w:r>
        <w:rPr>
          <w:rFonts w:cs="Times New Roman" w:ascii="Times New Roman" w:hAnsi="Times New Roman"/>
          <w:b/>
          <w:bCs/>
          <w:sz w:val="24"/>
          <w:szCs w:val="24"/>
          <w:u w:val="single"/>
          <w:lang w:val="pl-PL"/>
        </w:rPr>
        <w:t>X. Opis sposobu obliczenia ceny oferty.</w:t>
      </w:r>
    </w:p>
    <w:p>
      <w:pPr>
        <w:pStyle w:val="Tekstpodstawowywcity"/>
        <w:tabs>
          <w:tab w:val="left" w:pos="360" w:leader="none"/>
          <w:tab w:val="center" w:pos="4332" w:leader="none"/>
          <w:tab w:val="right" w:pos="8868" w:leader="none"/>
        </w:tabs>
        <w:spacing w:lineRule="atLeast" w:line="200"/>
        <w:ind w:left="0" w:hanging="0"/>
        <w:jc w:val="both"/>
        <w:rPr/>
      </w:pPr>
      <w:r>
        <w:rPr/>
      </w:r>
    </w:p>
    <w:p>
      <w:pPr>
        <w:pStyle w:val="Text"/>
        <w:rPr>
          <w:rFonts w:ascii="Times New Roman" w:hAnsi="Times New Roman" w:eastAsia="Times New Roman" w:cs="Times New Roman"/>
          <w:color w:val="000000"/>
          <w:sz w:val="24"/>
          <w:szCs w:val="24"/>
          <w:lang w:val="pl-PL"/>
        </w:rPr>
      </w:pPr>
      <w:r>
        <w:rPr>
          <w:rFonts w:eastAsia="Times New Roman" w:cs="Times New Roman" w:ascii="Times New Roman" w:hAnsi="Times New Roman"/>
          <w:color w:val="000000"/>
          <w:sz w:val="24"/>
          <w:szCs w:val="24"/>
          <w:lang w:val="pl-PL"/>
        </w:rPr>
        <w:t xml:space="preserve">1. Wynagrodzenie ryczałtowe - cena brutto podana w ofercie musi obejmować wszystkie koszty związane z wykonaniem zadania wraz z kosztami związanymi z pracami przygotowawczymi, porządkowymi, zagospodarowaniem placu budowy, ustanowieniem kierownika robót budowlanych, zagospodarowaniem odpadów zgodnie z obowiązującymi przepisami prawa i innymi opłatami związanymi z realizacją robót budowlanych </w:t>
      </w:r>
    </w:p>
    <w:p>
      <w:pPr>
        <w:pStyle w:val="Text"/>
        <w:rPr/>
      </w:pPr>
      <w:r>
        <w:rPr>
          <w:rStyle w:val="Domylnaczcionkaakapitu"/>
          <w:rFonts w:eastAsia="Times New Roman" w:cs="Times New Roman" w:ascii="Times New Roman" w:hAnsi="Times New Roman"/>
          <w:color w:val="000000"/>
          <w:sz w:val="24"/>
          <w:szCs w:val="24"/>
          <w:lang w:val="pl-PL"/>
        </w:rPr>
        <w:t xml:space="preserve">2. </w:t>
      </w:r>
      <w:r>
        <w:rPr>
          <w:rStyle w:val="Domylnaczcionkaakapitu"/>
          <w:rFonts w:cs="Times New Roman" w:ascii="Times New Roman" w:hAnsi="Times New Roman"/>
          <w:sz w:val="24"/>
          <w:szCs w:val="24"/>
          <w:lang w:val="pl-PL"/>
        </w:rPr>
        <w:t>Wszystkie wartości powinny być liczone z dokładnością do dwóch miejsc po przecinku.</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3. Cena musi być podana w PLN cyfrowo i słownie.</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4. Cena może być tylko jedna nie dopuszcza się wariantowości ceny, wszelkie upusty cenowe proponowane przez Wykonawcę muszą być zawarte w cenie ofertowej.</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5. W przypadku różnicy ceny ofertowej podanej liczbowo i słownie w formularzu ofertowym, za właściwą uznaje się cenę podaną liczbowo.</w:t>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6. 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pPr>
        <w:pStyle w:val="Text"/>
        <w:rPr/>
      </w:pPr>
      <w:r>
        <w:rPr>
          <w:rStyle w:val="Domylnaczcionkaakapitu"/>
          <w:rFonts w:eastAsia="Times New Roman" w:cs="Times New Roman" w:ascii="Times New Roman" w:hAnsi="Times New Roman"/>
          <w:b/>
          <w:bCs/>
          <w:color w:val="000000"/>
          <w:sz w:val="24"/>
          <w:szCs w:val="24"/>
          <w:u w:val="single"/>
          <w:lang w:val="pl-PL"/>
        </w:rPr>
        <w:t>7. Przedmiary robót stanowią elementy pomocnicze</w:t>
      </w:r>
      <w:r>
        <w:rPr>
          <w:rStyle w:val="Domylnaczcionkaakapitu"/>
          <w:rFonts w:eastAsia="Times New Roman" w:cs="Times New Roman" w:ascii="Times New Roman" w:hAnsi="Times New Roman"/>
          <w:color w:val="000000"/>
          <w:sz w:val="24"/>
          <w:szCs w:val="24"/>
          <w:lang w:val="pl-PL"/>
        </w:rPr>
        <w:t>, poglądowe, wspomagające wycenę robót budowlanych</w:t>
      </w:r>
    </w:p>
    <w:p>
      <w:pPr>
        <w:pStyle w:val="Text"/>
        <w:tabs>
          <w:tab w:val="clear" w:pos="706"/>
          <w:tab w:val="left" w:pos="0" w:leader="none"/>
          <w:tab w:val="left" w:pos="10" w:leader="none"/>
          <w:tab w:val="left" w:pos="11890" w:leader="none"/>
          <w:tab w:val="left" w:pos="12250" w:leader="none"/>
        </w:tabs>
        <w:spacing w:lineRule="atLeast" w:line="100"/>
        <w:rPr>
          <w:rFonts w:eastAsia="TimesNewRomanPSMT" w:cs="TimesNewRomanPSMT"/>
        </w:rPr>
      </w:pPr>
      <w:r>
        <w:rPr>
          <w:rFonts w:eastAsia="TimesNewRomanPSMT" w:cs="TimesNewRomanPSMT"/>
        </w:rPr>
      </w:r>
    </w:p>
    <w:p>
      <w:pPr>
        <w:pStyle w:val="Normalny"/>
        <w:tabs>
          <w:tab w:val="clear" w:pos="706"/>
          <w:tab w:val="center" w:pos="5616" w:leader="none"/>
          <w:tab w:val="right" w:pos="10152" w:leader="none"/>
        </w:tabs>
        <w:spacing w:lineRule="atLeast" w:line="200"/>
        <w:ind w:left="720" w:hanging="703"/>
        <w:rPr>
          <w:b/>
          <w:b/>
          <w:bCs/>
          <w:u w:val="single"/>
        </w:rPr>
      </w:pPr>
      <w:r>
        <w:rPr>
          <w:b/>
          <w:bCs/>
          <w:u w:val="single"/>
        </w:rPr>
        <w:t>XI. Instrukcja dla wykonawców</w:t>
      </w:r>
    </w:p>
    <w:p>
      <w:pPr>
        <w:pStyle w:val="Normalny"/>
        <w:tabs>
          <w:tab w:val="clear" w:pos="706"/>
          <w:tab w:val="center" w:pos="5616" w:leader="none"/>
          <w:tab w:val="right" w:pos="10152" w:leader="none"/>
        </w:tabs>
        <w:spacing w:lineRule="atLeast" w:line="200"/>
        <w:ind w:left="720" w:hanging="703"/>
        <w:rPr>
          <w:b/>
          <w:b/>
          <w:bCs/>
          <w:u w:val="single"/>
        </w:rPr>
      </w:pPr>
      <w:r>
        <w:rPr>
          <w:b/>
          <w:bCs/>
          <w:u w:val="single"/>
        </w:rPr>
      </w:r>
    </w:p>
    <w:p>
      <w:pPr>
        <w:pStyle w:val="Normalny"/>
        <w:widowControl/>
        <w:numPr>
          <w:ilvl w:val="0"/>
          <w:numId w:val="4"/>
        </w:numPr>
        <w:tabs>
          <w:tab w:val="clear" w:pos="706"/>
          <w:tab w:val="left" w:pos="500" w:leader="none"/>
          <w:tab w:val="left" w:pos="734" w:leader="none"/>
          <w:tab w:val="center" w:pos="6350" w:leader="none"/>
          <w:tab w:val="right" w:pos="10886" w:leader="none"/>
        </w:tabs>
        <w:spacing w:lineRule="atLeast" w:line="200"/>
        <w:ind w:left="-14" w:hanging="14"/>
        <w:jc w:val="both"/>
        <w:textAlignment w:val="auto"/>
        <w:rPr/>
      </w:pPr>
      <w:r>
        <w:rPr/>
        <w:t xml:space="preserve">Oferta powinna być sporządzona na formularzu ofertowym stanowiącym </w:t>
      </w:r>
      <w:r>
        <w:rPr>
          <w:rStyle w:val="Domylnaczcionkaakapitu"/>
          <w:b/>
          <w:bCs/>
        </w:rPr>
        <w:t>załącznik nr 1</w:t>
      </w:r>
    </w:p>
    <w:p>
      <w:pPr>
        <w:pStyle w:val="Normalny"/>
        <w:widowControl/>
        <w:numPr>
          <w:ilvl w:val="0"/>
          <w:numId w:val="4"/>
        </w:numPr>
        <w:tabs>
          <w:tab w:val="clear" w:pos="706"/>
          <w:tab w:val="left" w:pos="500" w:leader="none"/>
          <w:tab w:val="left" w:pos="734" w:leader="none"/>
          <w:tab w:val="center" w:pos="6350" w:leader="none"/>
          <w:tab w:val="right" w:pos="10886" w:leader="none"/>
        </w:tabs>
        <w:spacing w:lineRule="atLeast" w:line="200"/>
        <w:ind w:left="-14" w:hanging="14"/>
        <w:jc w:val="both"/>
        <w:textAlignment w:val="auto"/>
        <w:rPr>
          <w:color w:val="000000"/>
        </w:rPr>
      </w:pPr>
      <w:r>
        <w:rPr>
          <w:color w:val="000000"/>
        </w:rPr>
        <w:t>Ofertę należy umieścić w zamkniętym opakowaniu, uniemożliwiającym odczytanie jej zawartości bez uszkodzenia tego opakowania. Opakowanie powinno być opatrzone nazwą (firmą)  i adresem Wykonawcy, a także posiadać dodatkowe oznaczenie:</w:t>
      </w:r>
    </w:p>
    <w:p>
      <w:pPr>
        <w:pStyle w:val="Normalny"/>
        <w:tabs>
          <w:tab w:val="clear" w:pos="706"/>
          <w:tab w:val="left" w:pos="360" w:leader="none"/>
          <w:tab w:val="left" w:pos="720" w:leader="none"/>
          <w:tab w:val="left" w:pos="4590" w:leader="none"/>
          <w:tab w:val="center" w:pos="15246" w:leader="none"/>
          <w:tab w:val="right" w:pos="19782" w:leader="none"/>
        </w:tabs>
        <w:spacing w:lineRule="atLeast" w:line="200"/>
        <w:jc w:val="both"/>
        <w:rPr/>
      </w:pPr>
      <w:r>
        <w:rPr>
          <w:rStyle w:val="Domylnaczcionkaakapitu"/>
          <w:b/>
          <w:bCs/>
          <w:color w:val="000000"/>
        </w:rPr>
        <w:t>SP nr 1 w Gołdapi</w:t>
      </w:r>
      <w:r>
        <w:rPr>
          <w:rStyle w:val="Domylnaczcionkaakapitu"/>
          <w:b/>
          <w:bCs/>
        </w:rPr>
        <w:t>, ul. Szkolna 4, 19-500 Gołdap,</w:t>
      </w:r>
    </w:p>
    <w:p>
      <w:pPr>
        <w:pStyle w:val="Normalny"/>
        <w:tabs>
          <w:tab w:val="clear" w:pos="706"/>
          <w:tab w:val="left" w:pos="360" w:leader="none"/>
          <w:tab w:val="left" w:pos="720" w:leader="none"/>
          <w:tab w:val="left" w:pos="4590" w:leader="none"/>
          <w:tab w:val="center" w:pos="15246" w:leader="none"/>
          <w:tab w:val="right" w:pos="19782" w:leader="none"/>
        </w:tabs>
        <w:spacing w:lineRule="atLeast" w:line="200"/>
        <w:jc w:val="both"/>
        <w:rPr/>
      </w:pPr>
      <w:r>
        <w:rPr>
          <w:rStyle w:val="Domylnaczcionkaakapitu"/>
          <w:b/>
          <w:bCs/>
        </w:rPr>
        <w:t>„</w:t>
      </w:r>
      <w:r>
        <w:rPr>
          <w:rStyle w:val="Domylnaczcionkaakapitu"/>
          <w:b/>
          <w:bCs/>
        </w:rPr>
        <w:t>Nawierzchnie – Plac zabaw” - Nie otwierać przed 10.09.2019 r., godz. 10.15</w:t>
      </w:r>
    </w:p>
    <w:p>
      <w:pPr>
        <w:pStyle w:val="Tekstpodstawowywcity"/>
        <w:tabs>
          <w:tab w:val="left" w:pos="-1176" w:leader="none"/>
          <w:tab w:val="center" w:pos="3294" w:leader="none"/>
          <w:tab w:val="right" w:pos="7830" w:leader="none"/>
        </w:tabs>
        <w:spacing w:lineRule="atLeast" w:line="200"/>
        <w:ind w:left="0" w:hanging="0"/>
        <w:jc w:val="both"/>
        <w:rPr>
          <w:rFonts w:ascii="Times New Roman" w:hAnsi="Times New Roman"/>
          <w:sz w:val="24"/>
          <w:szCs w:val="24"/>
          <w:highlight w:val="white"/>
        </w:rPr>
      </w:pPr>
      <w:r>
        <w:rPr>
          <w:rFonts w:ascii="Times New Roman" w:hAnsi="Times New Roman"/>
          <w:sz w:val="24"/>
          <w:szCs w:val="24"/>
          <w:highlight w:val="white"/>
        </w:rPr>
        <w:t>3.  Oferty złożone po terminie zostaną zwrócone.</w:t>
      </w:r>
    </w:p>
    <w:p>
      <w:pPr>
        <w:pStyle w:val="Tekstpodstawowywcity"/>
        <w:tabs>
          <w:tab w:val="left" w:pos="-1176" w:leader="none"/>
          <w:tab w:val="center" w:pos="3294" w:leader="none"/>
          <w:tab w:val="right" w:pos="7830" w:leader="none"/>
        </w:tabs>
        <w:spacing w:lineRule="atLeast" w:line="200"/>
        <w:ind w:left="0" w:hanging="0"/>
        <w:jc w:val="both"/>
        <w:rPr>
          <w:rFonts w:ascii="Times New Roman" w:hAnsi="Times New Roman"/>
          <w:b/>
          <w:b/>
          <w:bCs/>
          <w:sz w:val="24"/>
          <w:szCs w:val="24"/>
          <w:u w:val="single"/>
        </w:rPr>
      </w:pPr>
      <w:r>
        <w:rPr>
          <w:rFonts w:ascii="Times New Roman" w:hAnsi="Times New Roman"/>
          <w:b/>
          <w:bCs/>
          <w:sz w:val="24"/>
          <w:szCs w:val="24"/>
          <w:u w:val="single"/>
        </w:rPr>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000000"/>
        </w:rPr>
        <w:t>XII. Forma złożenia oferty:</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color w:val="000000"/>
        </w:rPr>
      </w:pPr>
      <w:r>
        <w:rPr>
          <w:color w:val="000000"/>
        </w:rPr>
      </w:r>
    </w:p>
    <w:p>
      <w:pPr>
        <w:pStyle w:val="Normalny"/>
        <w:widowControl/>
        <w:numPr>
          <w:ilvl w:val="0"/>
          <w:numId w:val="13"/>
        </w:numPr>
        <w:tabs>
          <w:tab w:val="clear" w:pos="706"/>
          <w:tab w:val="left" w:pos="0" w:leader="none"/>
          <w:tab w:val="left" w:pos="486" w:leader="none"/>
          <w:tab w:val="center" w:pos="6336" w:leader="none"/>
          <w:tab w:val="right" w:pos="10872" w:leader="none"/>
        </w:tabs>
        <w:spacing w:lineRule="atLeast" w:line="200"/>
        <w:jc w:val="both"/>
        <w:textAlignment w:val="auto"/>
        <w:rPr/>
      </w:pPr>
      <w:r>
        <w:rPr>
          <w:rStyle w:val="Hipercze"/>
          <w:color w:val="000000"/>
          <w:u w:val="none"/>
        </w:rPr>
        <w:t>Ofertę należy sporządzić w języku polskim z zachowaniem formy pisemnej</w:t>
      </w:r>
    </w:p>
    <w:p>
      <w:pPr>
        <w:pStyle w:val="Normalny"/>
        <w:widowControl/>
        <w:numPr>
          <w:ilvl w:val="0"/>
          <w:numId w:val="13"/>
        </w:numPr>
        <w:tabs>
          <w:tab w:val="clear" w:pos="706"/>
          <w:tab w:val="left" w:pos="0" w:leader="none"/>
          <w:tab w:val="left" w:pos="486" w:leader="none"/>
          <w:tab w:val="center" w:pos="6336" w:leader="none"/>
          <w:tab w:val="right" w:pos="10872" w:leader="none"/>
        </w:tabs>
        <w:spacing w:lineRule="atLeast" w:line="200"/>
        <w:jc w:val="both"/>
        <w:textAlignment w:val="auto"/>
        <w:rPr/>
      </w:pPr>
      <w:r>
        <w:rPr/>
        <w:t>W przypadku składania ofert w języku obcym należy złożyć je wraz z tłumaczeniem na język polski</w:t>
      </w:r>
      <w:r>
        <w:rPr>
          <w:rStyle w:val="Domylnaczcionkaakapitu"/>
          <w:i/>
        </w:rPr>
        <w:t>.</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000000"/>
        </w:rPr>
        <w:t>XIII. Miejsce i termin złożenia oferty:</w:t>
      </w:r>
    </w:p>
    <w:p>
      <w:pPr>
        <w:pStyle w:val="Normalny"/>
        <w:widowControl/>
        <w:numPr>
          <w:ilvl w:val="0"/>
          <w:numId w:val="13"/>
        </w:numPr>
        <w:tabs>
          <w:tab w:val="clear" w:pos="706"/>
          <w:tab w:val="left" w:pos="0" w:leader="none"/>
          <w:tab w:val="left" w:pos="486" w:leader="none"/>
          <w:tab w:val="center" w:pos="6336" w:leader="none"/>
          <w:tab w:val="right" w:pos="10872" w:leader="none"/>
        </w:tabs>
        <w:spacing w:lineRule="atLeast" w:line="200"/>
        <w:jc w:val="both"/>
        <w:textAlignment w:val="auto"/>
        <w:rPr>
          <w:color w:val="000000"/>
        </w:rPr>
      </w:pPr>
      <w:r>
        <w:rPr>
          <w:color w:val="000000"/>
        </w:rPr>
      </w:r>
    </w:p>
    <w:p>
      <w:pPr>
        <w:pStyle w:val="Normalny"/>
        <w:widowControl/>
        <w:numPr>
          <w:ilvl w:val="0"/>
          <w:numId w:val="13"/>
        </w:numPr>
        <w:tabs>
          <w:tab w:val="clear" w:pos="706"/>
          <w:tab w:val="left" w:pos="0" w:leader="none"/>
          <w:tab w:val="left" w:pos="486" w:leader="none"/>
          <w:tab w:val="center" w:pos="6336" w:leader="none"/>
          <w:tab w:val="right" w:pos="10872" w:leader="none"/>
        </w:tabs>
        <w:spacing w:lineRule="atLeast" w:line="200"/>
        <w:jc w:val="both"/>
        <w:textAlignment w:val="auto"/>
        <w:rPr/>
      </w:pPr>
      <w:r>
        <w:rPr>
          <w:rStyle w:val="Hipercze"/>
          <w:color w:val="000000"/>
          <w:u w:val="none"/>
        </w:rPr>
        <w:t xml:space="preserve">Oferty należy złożyć w sekretariacie Szkoły Podstawowej nr 1 z Oddziałami Integracyjnymi w Gołdapi, ul. Szkolna 4, 19-500 Gołdap, </w:t>
      </w:r>
      <w:r>
        <w:rPr>
          <w:rStyle w:val="Hipercze"/>
          <w:b/>
          <w:bCs/>
          <w:color w:val="000000"/>
          <w:u w:val="none"/>
        </w:rPr>
        <w:t>w terminie do 10.09.</w:t>
      </w:r>
      <w:r>
        <w:rPr>
          <w:rStyle w:val="Domylnaczcionkaakapitu"/>
          <w:b/>
          <w:bCs/>
          <w:color w:val="000000"/>
        </w:rPr>
        <w:t xml:space="preserve">2019 r. </w:t>
      </w:r>
      <w:r>
        <w:rPr>
          <w:rStyle w:val="Hipercze"/>
          <w:b/>
          <w:bCs/>
          <w:color w:val="000000"/>
          <w:u w:val="none"/>
        </w:rPr>
        <w:t>godz. 10.00</w:t>
      </w:r>
      <w:r>
        <w:rPr>
          <w:rStyle w:val="Hipercze"/>
          <w:color w:val="000000"/>
          <w:u w:val="none"/>
        </w:rPr>
        <w:t>.</w:t>
      </w:r>
    </w:p>
    <w:p>
      <w:pPr>
        <w:pStyle w:val="Tekstpodstawowywcity"/>
        <w:tabs>
          <w:tab w:val="center" w:pos="4470" w:leader="none"/>
          <w:tab w:val="right" w:pos="9006" w:leader="none"/>
        </w:tabs>
        <w:spacing w:lineRule="atLeast" w:line="200"/>
        <w:jc w:val="both"/>
        <w:rPr>
          <w:rFonts w:ascii="Times New Roman" w:hAnsi="Times New Roman"/>
          <w:b/>
          <w:b/>
          <w:bCs/>
          <w:sz w:val="24"/>
          <w:szCs w:val="24"/>
          <w:u w:val="single"/>
        </w:rPr>
      </w:pPr>
      <w:r>
        <w:rPr>
          <w:rFonts w:ascii="Times New Roman" w:hAnsi="Times New Roman"/>
          <w:b/>
          <w:bCs/>
          <w:sz w:val="24"/>
          <w:szCs w:val="24"/>
          <w:u w:val="single"/>
        </w:rPr>
      </w:r>
    </w:p>
    <w:p>
      <w:pPr>
        <w:pStyle w:val="Tekstpodstawowywcity"/>
        <w:numPr>
          <w:ilvl w:val="0"/>
          <w:numId w:val="13"/>
        </w:numPr>
        <w:tabs>
          <w:tab w:val="left" w:pos="0" w:leader="none"/>
          <w:tab w:val="center" w:pos="5322" w:leader="none"/>
          <w:tab w:val="right" w:pos="9858" w:leader="none"/>
        </w:tabs>
        <w:spacing w:lineRule="atLeast" w:line="200"/>
        <w:ind w:left="0" w:hanging="0"/>
        <w:jc w:val="both"/>
        <w:rPr>
          <w:rFonts w:ascii="Times New Roman" w:hAnsi="Times New Roman"/>
          <w:b/>
          <w:b/>
          <w:bCs/>
          <w:sz w:val="24"/>
          <w:szCs w:val="24"/>
          <w:u w:val="single"/>
        </w:rPr>
      </w:pPr>
      <w:r>
        <w:rPr>
          <w:rFonts w:ascii="Times New Roman" w:hAnsi="Times New Roman"/>
          <w:b/>
          <w:bCs/>
          <w:sz w:val="24"/>
          <w:szCs w:val="24"/>
          <w:u w:val="single"/>
        </w:rPr>
        <w:t>XIV. Miejsce i termin otwarcia ofert</w:t>
      </w:r>
    </w:p>
    <w:p>
      <w:pPr>
        <w:pStyle w:val="Tekstpodstawowywcity"/>
        <w:numPr>
          <w:ilvl w:val="0"/>
          <w:numId w:val="13"/>
        </w:numPr>
        <w:tabs>
          <w:tab w:val="left" w:pos="0" w:leader="none"/>
          <w:tab w:val="center" w:pos="4896" w:leader="none"/>
          <w:tab w:val="right" w:pos="9432" w:leader="none"/>
        </w:tabs>
        <w:spacing w:lineRule="atLeast" w:line="200"/>
        <w:jc w:val="both"/>
        <w:rPr>
          <w:b/>
          <w:b/>
          <w:bCs/>
          <w:u w:val="single"/>
        </w:rPr>
      </w:pPr>
      <w:r>
        <w:rPr>
          <w:b/>
          <w:bCs/>
          <w:u w:val="single"/>
        </w:rPr>
      </w:r>
    </w:p>
    <w:p>
      <w:pPr>
        <w:pStyle w:val="Tekstpodstawowywcity"/>
        <w:numPr>
          <w:ilvl w:val="0"/>
          <w:numId w:val="13"/>
        </w:numPr>
        <w:tabs>
          <w:tab w:val="left" w:pos="0" w:leader="none"/>
          <w:tab w:val="center" w:pos="4896" w:leader="none"/>
          <w:tab w:val="right" w:pos="9432" w:leader="none"/>
        </w:tabs>
        <w:spacing w:lineRule="atLeast" w:line="200"/>
        <w:ind w:hanging="426"/>
        <w:jc w:val="both"/>
        <w:rPr/>
      </w:pPr>
      <w:r>
        <w:rPr>
          <w:rStyle w:val="Domylnaczcionkaakapitu"/>
          <w:rFonts w:cs="Tahoma" w:ascii="Times New Roman" w:hAnsi="Times New Roman"/>
          <w:color w:val="000000"/>
          <w:sz w:val="24"/>
          <w:szCs w:val="24"/>
          <w:highlight w:val="white"/>
        </w:rPr>
        <w:t>Otwarcie ofert nastąpi dnia</w:t>
      </w:r>
      <w:r>
        <w:rPr>
          <w:rStyle w:val="Domylnaczcionkaakapitu"/>
          <w:rFonts w:cs="Tahoma" w:ascii="Times New Roman" w:hAnsi="Times New Roman"/>
          <w:b/>
          <w:bCs/>
          <w:color w:val="000000"/>
          <w:sz w:val="24"/>
          <w:szCs w:val="24"/>
          <w:highlight w:val="white"/>
        </w:rPr>
        <w:t xml:space="preserve"> 10.09</w:t>
      </w:r>
      <w:r>
        <w:rPr>
          <w:rStyle w:val="Domylnaczcionkaakapitu"/>
          <w:rFonts w:ascii="Times New Roman" w:hAnsi="Times New Roman"/>
          <w:b/>
          <w:bCs/>
          <w:sz w:val="24"/>
          <w:szCs w:val="24"/>
        </w:rPr>
        <w:t xml:space="preserve">.2019 r. </w:t>
      </w:r>
      <w:r>
        <w:rPr>
          <w:rStyle w:val="Domylnaczcionkaakapitu"/>
          <w:rFonts w:cs="Tahoma" w:ascii="Times New Roman" w:hAnsi="Times New Roman"/>
          <w:b/>
          <w:bCs/>
          <w:color w:val="000000"/>
          <w:sz w:val="24"/>
          <w:szCs w:val="24"/>
          <w:highlight w:val="white"/>
        </w:rPr>
        <w:t>o godz.</w:t>
      </w:r>
      <w:r>
        <w:rPr>
          <w:rStyle w:val="Domylnaczcionkaakapitu"/>
          <w:rFonts w:cs="Tahoma" w:ascii="Times New Roman" w:hAnsi="Times New Roman"/>
          <w:color w:val="000000"/>
          <w:sz w:val="24"/>
          <w:szCs w:val="24"/>
          <w:highlight w:val="white"/>
        </w:rPr>
        <w:t xml:space="preserve"> </w:t>
      </w:r>
      <w:r>
        <w:rPr>
          <w:rStyle w:val="Domylnaczcionkaakapitu"/>
          <w:rFonts w:cs="Tahoma" w:ascii="Times New Roman" w:hAnsi="Times New Roman"/>
          <w:b/>
          <w:bCs/>
          <w:color w:val="000000"/>
          <w:sz w:val="24"/>
          <w:szCs w:val="24"/>
          <w:highlight w:val="white"/>
        </w:rPr>
        <w:t>10.15</w:t>
      </w:r>
      <w:r>
        <w:rPr>
          <w:rStyle w:val="Domylnaczcionkaakapitu"/>
          <w:rFonts w:cs="Tahoma" w:ascii="Times New Roman" w:hAnsi="Times New Roman"/>
          <w:color w:val="000000"/>
          <w:sz w:val="24"/>
          <w:szCs w:val="24"/>
          <w:highlight w:val="white"/>
        </w:rPr>
        <w:t xml:space="preserve"> w siedzibie Zamawiającego</w:t>
      </w:r>
    </w:p>
    <w:p>
      <w:pPr>
        <w:pStyle w:val="Normalny"/>
        <w:tabs>
          <w:tab w:val="clear" w:pos="706"/>
          <w:tab w:val="left" w:pos="727" w:leader="none"/>
        </w:tabs>
        <w:spacing w:lineRule="auto"/>
        <w:jc w:val="both"/>
        <w:rPr>
          <w:rFonts w:eastAsia="Garamond"/>
          <w:color w:val="00000A"/>
          <w:kern w:val="0"/>
        </w:rPr>
      </w:pPr>
      <w:r>
        <w:rPr>
          <w:rFonts w:eastAsia="Garamond"/>
          <w:color w:val="00000A"/>
          <w:kern w:val="0"/>
        </w:rPr>
      </w:r>
    </w:p>
    <w:p>
      <w:pPr>
        <w:pStyle w:val="Tekstpodstawowywcity"/>
        <w:numPr>
          <w:ilvl w:val="0"/>
          <w:numId w:val="13"/>
        </w:numPr>
        <w:tabs>
          <w:tab w:val="left" w:pos="0" w:leader="none"/>
          <w:tab w:val="center" w:pos="4896" w:leader="none"/>
          <w:tab w:val="right" w:pos="9432" w:leader="none"/>
        </w:tabs>
        <w:spacing w:lineRule="atLeast" w:line="200"/>
        <w:ind w:hanging="426"/>
        <w:jc w:val="both"/>
        <w:rPr>
          <w:rFonts w:ascii="Times New Roman" w:hAnsi="Times New Roman" w:cs="Tahoma"/>
          <w:b/>
          <w:b/>
          <w:bCs/>
          <w:color w:val="000000"/>
          <w:sz w:val="24"/>
          <w:szCs w:val="24"/>
          <w:highlight w:val="white"/>
          <w:u w:val="single"/>
        </w:rPr>
      </w:pPr>
      <w:r>
        <w:rPr>
          <w:rFonts w:cs="Tahoma" w:ascii="Times New Roman" w:hAnsi="Times New Roman"/>
          <w:b/>
          <w:bCs/>
          <w:color w:val="000000"/>
          <w:sz w:val="24"/>
          <w:szCs w:val="24"/>
          <w:highlight w:val="white"/>
          <w:u w:val="single"/>
        </w:rPr>
        <w:t>XV. Ogłoszenie wyników</w:t>
      </w:r>
    </w:p>
    <w:p>
      <w:pPr>
        <w:pStyle w:val="Tekstpodstawowywcity"/>
        <w:numPr>
          <w:ilvl w:val="0"/>
          <w:numId w:val="13"/>
        </w:numPr>
        <w:tabs>
          <w:tab w:val="left" w:pos="0" w:leader="none"/>
          <w:tab w:val="center" w:pos="4896" w:leader="none"/>
          <w:tab w:val="right" w:pos="9432" w:leader="none"/>
        </w:tabs>
        <w:spacing w:lineRule="atLeast" w:line="200"/>
        <w:jc w:val="both"/>
        <w:rPr>
          <w:b/>
          <w:b/>
          <w:bCs/>
        </w:rPr>
      </w:pPr>
      <w:r>
        <w:rPr>
          <w:b/>
          <w:bCs/>
        </w:rPr>
      </w:r>
    </w:p>
    <w:p>
      <w:pPr>
        <w:pStyle w:val="Normalny"/>
        <w:widowControl/>
        <w:numPr>
          <w:ilvl w:val="0"/>
          <w:numId w:val="13"/>
        </w:numPr>
        <w:tabs>
          <w:tab w:val="clear" w:pos="706"/>
          <w:tab w:val="left" w:pos="0" w:leader="none"/>
          <w:tab w:val="left" w:pos="12600" w:leader="none"/>
          <w:tab w:val="center" w:pos="22896" w:leader="none"/>
          <w:tab w:val="right" w:pos="27432" w:leader="none"/>
        </w:tabs>
        <w:spacing w:lineRule="atLeast" w:line="200"/>
        <w:jc w:val="both"/>
        <w:textAlignment w:val="auto"/>
        <w:rPr>
          <w:highlight w:val="white"/>
        </w:rPr>
      </w:pPr>
      <w:r>
        <w:rPr>
          <w:highlight w:val="white"/>
        </w:rPr>
        <w:t>1. Zamawiający udzieli zamówienia Wykonawcy, którego oferta odpowiada wszystkim wymaganiom określonym w niniejszym zapytaniu ofertowym, a która została oceniona jako najkorzystniejsza w oparciu o podane kryterium ceny oraz gwarancji.</w:t>
      </w:r>
    </w:p>
    <w:p>
      <w:pPr>
        <w:pStyle w:val="Normalny"/>
        <w:widowControl/>
        <w:numPr>
          <w:ilvl w:val="0"/>
          <w:numId w:val="5"/>
        </w:numPr>
        <w:tabs>
          <w:tab w:val="clear" w:pos="706"/>
          <w:tab w:val="left" w:pos="0" w:leader="none"/>
          <w:tab w:val="left" w:pos="12600" w:leader="none"/>
          <w:tab w:val="center" w:pos="22896" w:leader="none"/>
          <w:tab w:val="right" w:pos="27432" w:leader="none"/>
        </w:tabs>
        <w:spacing w:lineRule="atLeast" w:line="200"/>
        <w:jc w:val="both"/>
        <w:textAlignment w:val="auto"/>
        <w:rPr>
          <w:highlight w:val="white"/>
        </w:rPr>
      </w:pPr>
      <w:r>
        <w:rPr>
          <w:highlight w:val="white"/>
        </w:rPr>
        <w:t xml:space="preserve">2. O wyborze oferty najkorzystniejszej Zamawiający niezwłocznie zawiadomi Wykonawców, którzy brali udział w przedmiotowym zapytaniu ofertowym </w:t>
      </w:r>
    </w:p>
    <w:p>
      <w:pPr>
        <w:pStyle w:val="Normal"/>
        <w:spacing w:lineRule="atLeast" w:line="200"/>
        <w:jc w:val="both"/>
        <w:rPr>
          <w:rFonts w:eastAsia="Times New Roman" w:cs="Times New Roman"/>
          <w:b/>
          <w:b/>
          <w:bCs/>
          <w:color w:val="000000"/>
          <w:highlight w:val="white"/>
          <w:u w:val="single"/>
          <w:lang w:val="pl-PL"/>
        </w:rPr>
      </w:pPr>
      <w:r>
        <w:rPr>
          <w:rFonts w:eastAsia="Times New Roman" w:cs="Times New Roman"/>
          <w:b/>
          <w:bCs/>
          <w:color w:val="000000"/>
          <w:highlight w:val="white"/>
          <w:u w:val="single"/>
          <w:lang w:val="pl-PL"/>
        </w:rPr>
      </w:r>
    </w:p>
    <w:p>
      <w:pPr>
        <w:pStyle w:val="Tekstpodstawowywcity"/>
        <w:numPr>
          <w:ilvl w:val="0"/>
          <w:numId w:val="13"/>
        </w:numPr>
        <w:tabs>
          <w:tab w:val="left" w:pos="0" w:leader="none"/>
          <w:tab w:val="center" w:pos="4896" w:leader="none"/>
          <w:tab w:val="right" w:pos="9432" w:leader="none"/>
        </w:tabs>
        <w:spacing w:lineRule="atLeast" w:line="200"/>
        <w:ind w:hanging="426"/>
        <w:jc w:val="both"/>
        <w:rPr>
          <w:rFonts w:ascii="Times New Roman" w:hAnsi="Times New Roman" w:cs="Tahoma"/>
          <w:b/>
          <w:b/>
          <w:bCs/>
          <w:color w:val="000000"/>
          <w:sz w:val="24"/>
          <w:szCs w:val="24"/>
          <w:highlight w:val="white"/>
          <w:u w:val="single"/>
        </w:rPr>
      </w:pPr>
      <w:r>
        <w:rPr>
          <w:rFonts w:cs="Tahoma" w:ascii="Times New Roman" w:hAnsi="Times New Roman"/>
          <w:b/>
          <w:bCs/>
          <w:color w:val="000000"/>
          <w:sz w:val="24"/>
          <w:szCs w:val="24"/>
          <w:highlight w:val="white"/>
          <w:u w:val="single"/>
        </w:rPr>
        <w:t>XVI. Osoby wyznaczone do kontaktów:</w:t>
      </w:r>
    </w:p>
    <w:p>
      <w:pPr>
        <w:pStyle w:val="Tekstpodstawowywcity"/>
        <w:numPr>
          <w:ilvl w:val="0"/>
          <w:numId w:val="13"/>
        </w:numPr>
        <w:tabs>
          <w:tab w:val="left" w:pos="0" w:leader="none"/>
          <w:tab w:val="center" w:pos="5322" w:leader="none"/>
          <w:tab w:val="right" w:pos="9858" w:leader="none"/>
        </w:tabs>
        <w:spacing w:lineRule="atLeast" w:line="200"/>
        <w:ind w:left="0" w:hanging="0"/>
        <w:jc w:val="both"/>
        <w:rPr/>
      </w:pPr>
      <w:r>
        <w:rPr>
          <w:rStyle w:val="Hipercze"/>
          <w:rFonts w:ascii="Times New Roman" w:hAnsi="Times New Roman"/>
          <w:b/>
          <w:bCs/>
          <w:color w:val="000000"/>
          <w:sz w:val="24"/>
          <w:szCs w:val="24"/>
          <w:u w:val="none"/>
        </w:rPr>
        <w:t>Sylwia Ostrowska – Dyrektor</w:t>
      </w:r>
      <w:r>
        <w:rPr>
          <w:rStyle w:val="Hipercze"/>
          <w:rFonts w:ascii="Times New Roman" w:hAnsi="Times New Roman"/>
          <w:b/>
          <w:bCs/>
          <w:color w:val="000000"/>
          <w:sz w:val="24"/>
          <w:szCs w:val="24"/>
          <w:highlight w:val="white"/>
          <w:u w:val="none"/>
        </w:rPr>
        <w:t xml:space="preserve">  </w:t>
      </w:r>
    </w:p>
    <w:p>
      <w:pPr>
        <w:pStyle w:val="Tekstpodstawowywcity"/>
        <w:tabs>
          <w:tab w:val="center" w:pos="4896" w:leader="none"/>
          <w:tab w:val="right" w:pos="9432" w:leader="none"/>
        </w:tabs>
        <w:spacing w:lineRule="atLeast" w:line="200"/>
        <w:ind w:left="0" w:hanging="0"/>
        <w:jc w:val="both"/>
        <w:rPr>
          <w:b/>
          <w:b/>
          <w:bCs/>
          <w:u w:val="single"/>
        </w:rPr>
      </w:pPr>
      <w:r>
        <w:rPr>
          <w:b/>
          <w:bCs/>
          <w:u w:val="single"/>
        </w:rPr>
      </w:r>
    </w:p>
    <w:p>
      <w:pPr>
        <w:pStyle w:val="Tekstpodstawowywcity"/>
        <w:tabs>
          <w:tab w:val="center" w:pos="4896" w:leader="none"/>
          <w:tab w:val="right" w:pos="9432" w:leader="none"/>
        </w:tabs>
        <w:spacing w:lineRule="atLeast" w:line="200"/>
        <w:ind w:left="0" w:hanging="0"/>
        <w:jc w:val="both"/>
        <w:rPr>
          <w:rFonts w:ascii="Times New Roman" w:hAnsi="Times New Roman"/>
          <w:b/>
          <w:b/>
          <w:bCs/>
          <w:sz w:val="24"/>
          <w:szCs w:val="24"/>
          <w:u w:val="single"/>
        </w:rPr>
      </w:pPr>
      <w:r>
        <w:rPr>
          <w:rFonts w:ascii="Times New Roman" w:hAnsi="Times New Roman"/>
          <w:b/>
          <w:bCs/>
          <w:sz w:val="24"/>
          <w:szCs w:val="24"/>
          <w:u w:val="single"/>
        </w:rPr>
        <w:t>XVII. Warunki istotnych zmian umowy</w:t>
      </w:r>
    </w:p>
    <w:p>
      <w:pPr>
        <w:pStyle w:val="Tekstpodstawowywcity"/>
        <w:tabs>
          <w:tab w:val="center" w:pos="4896" w:leader="none"/>
          <w:tab w:val="right" w:pos="9432" w:leader="none"/>
        </w:tabs>
        <w:spacing w:lineRule="atLeast" w:line="200"/>
        <w:ind w:left="0" w:hanging="0"/>
        <w:jc w:val="both"/>
        <w:rPr>
          <w:rFonts w:ascii="Times New Roman" w:hAnsi="Times New Roman"/>
          <w:b/>
          <w:b/>
          <w:bCs/>
          <w:sz w:val="24"/>
          <w:szCs w:val="24"/>
          <w:u w:val="single"/>
        </w:rPr>
      </w:pPr>
      <w:r>
        <w:rPr>
          <w:rFonts w:ascii="Times New Roman" w:hAnsi="Times New Roman"/>
          <w:b/>
          <w:bCs/>
          <w:sz w:val="24"/>
          <w:szCs w:val="24"/>
          <w:u w:val="single"/>
        </w:rPr>
      </w:r>
    </w:p>
    <w:p>
      <w:pPr>
        <w:pStyle w:val="Text"/>
        <w:tabs>
          <w:tab w:val="clear" w:pos="706"/>
          <w:tab w:val="left" w:pos="727" w:leader="none"/>
        </w:tabs>
        <w:spacing w:lineRule="auto"/>
        <w:rPr/>
      </w:pPr>
      <w:r>
        <w:rPr>
          <w:rStyle w:val="Domylnaczcionkaakapitu"/>
          <w:rFonts w:eastAsia="Garamond" w:cs="Times New Roman" w:ascii="Times New Roman" w:hAnsi="Times New Roman"/>
          <w:color w:val="000000"/>
          <w:kern w:val="0"/>
          <w:sz w:val="24"/>
          <w:szCs w:val="24"/>
          <w:lang w:val="pl-PL"/>
        </w:rPr>
        <w:t xml:space="preserve">Istotne dla stron postanowienia umowy, zostały zawarte we wzorze umowy stanowiącym            </w:t>
      </w:r>
      <w:r>
        <w:rPr>
          <w:rStyle w:val="Domylnaczcionkaakapitu"/>
          <w:rFonts w:eastAsia="Garamond" w:cs="Times New Roman" w:ascii="Times New Roman" w:hAnsi="Times New Roman"/>
          <w:b/>
          <w:color w:val="000000"/>
          <w:kern w:val="0"/>
          <w:sz w:val="24"/>
          <w:szCs w:val="24"/>
          <w:u w:val="single"/>
          <w:lang w:val="pl-PL"/>
        </w:rPr>
        <w:t>załącznik nr 5</w:t>
      </w:r>
      <w:r>
        <w:rPr>
          <w:rStyle w:val="Domylnaczcionkaakapitu"/>
          <w:rFonts w:eastAsia="Garamond" w:cs="Times New Roman" w:ascii="Times New Roman" w:hAnsi="Times New Roman"/>
          <w:color w:val="000000"/>
          <w:kern w:val="0"/>
          <w:sz w:val="24"/>
          <w:szCs w:val="24"/>
          <w:u w:val="single"/>
          <w:lang w:val="pl-PL"/>
        </w:rPr>
        <w:t xml:space="preserve"> </w:t>
      </w:r>
      <w:r>
        <w:rPr>
          <w:rStyle w:val="Domylnaczcionkaakapitu"/>
          <w:rFonts w:eastAsia="Garamond" w:cs="Times New Roman" w:ascii="Times New Roman" w:hAnsi="Times New Roman"/>
          <w:color w:val="000000"/>
          <w:kern w:val="0"/>
          <w:sz w:val="24"/>
          <w:szCs w:val="24"/>
          <w:lang w:val="pl-PL"/>
        </w:rPr>
        <w:t>do niniejszego zapytania ofertowego</w:t>
      </w:r>
    </w:p>
    <w:p>
      <w:pPr>
        <w:pStyle w:val="Tekstpodstawowywcity"/>
        <w:tabs>
          <w:tab w:val="left" w:pos="0" w:leader="none"/>
          <w:tab w:val="center" w:pos="5322" w:leader="none"/>
          <w:tab w:val="right" w:pos="9858" w:leader="none"/>
        </w:tabs>
        <w:spacing w:lineRule="atLeast" w:line="200"/>
        <w:ind w:left="0" w:hanging="0"/>
        <w:jc w:val="both"/>
        <w:rPr/>
      </w:pPr>
      <w:r>
        <w:rPr/>
      </w:r>
    </w:p>
    <w:p>
      <w:pPr>
        <w:pStyle w:val="Normal"/>
        <w:jc w:val="both"/>
        <w:rPr>
          <w:rFonts w:cs="Times New Roman"/>
          <w:b/>
          <w:b/>
          <w:bCs/>
          <w:color w:val="000000"/>
          <w:u w:val="single"/>
          <w:lang w:val="pl-PL"/>
        </w:rPr>
      </w:pPr>
      <w:r>
        <w:rPr>
          <w:rFonts w:cs="Times New Roman"/>
          <w:b/>
          <w:bCs/>
          <w:color w:val="000000"/>
          <w:u w:val="single"/>
          <w:lang w:val="pl-PL"/>
        </w:rPr>
        <w:t>XVIII. Informacje o podstawach odrzucenia oferty.</w:t>
      </w:r>
    </w:p>
    <w:p>
      <w:pPr>
        <w:pStyle w:val="Normal"/>
        <w:spacing w:lineRule="atLeast" w:line="200"/>
        <w:jc w:val="both"/>
        <w:rPr>
          <w:rFonts w:cs="Times New Roman"/>
          <w:color w:val="000000"/>
          <w:lang w:val="pl-PL"/>
        </w:rPr>
      </w:pPr>
      <w:r>
        <w:rPr>
          <w:rFonts w:cs="Times New Roman"/>
          <w:color w:val="000000"/>
          <w:lang w:val="pl-PL"/>
        </w:rPr>
        <w:t>Oferta podlega odrzuceniu w przypadku, gdy:</w:t>
      </w:r>
    </w:p>
    <w:p>
      <w:pPr>
        <w:pStyle w:val="Normal"/>
        <w:spacing w:lineRule="atLeast" w:line="200"/>
        <w:jc w:val="both"/>
        <w:rPr>
          <w:rFonts w:cs="Times New Roman"/>
          <w:color w:val="000000"/>
          <w:lang w:val="pl-PL"/>
        </w:rPr>
      </w:pPr>
      <w:r>
        <w:rPr>
          <w:rFonts w:cs="Times New Roman"/>
          <w:color w:val="000000"/>
          <w:lang w:val="pl-PL"/>
        </w:rPr>
        <w:t>a) jej treść nie odpowiada treści niniejszego zapytania ofertowego,</w:t>
      </w:r>
    </w:p>
    <w:p>
      <w:pPr>
        <w:pStyle w:val="Normal"/>
        <w:spacing w:lineRule="atLeast" w:line="200"/>
        <w:jc w:val="both"/>
        <w:rPr>
          <w:rFonts w:cs="Times New Roman"/>
          <w:color w:val="000000"/>
          <w:lang w:val="pl-PL"/>
        </w:rPr>
      </w:pPr>
      <w:r>
        <w:rPr>
          <w:rFonts w:cs="Times New Roman"/>
          <w:color w:val="000000"/>
          <w:lang w:val="pl-PL"/>
        </w:rPr>
        <w:t>b) została złożona przez podmiot niespełniający warunków udziału w niniejszym postępowaniu</w:t>
      </w:r>
    </w:p>
    <w:p>
      <w:pPr>
        <w:pStyle w:val="Normal"/>
        <w:spacing w:lineRule="atLeast" w:line="200"/>
        <w:jc w:val="both"/>
        <w:rPr>
          <w:rFonts w:cs="Times New Roman"/>
          <w:color w:val="000000"/>
          <w:lang w:val="pl-PL"/>
        </w:rPr>
      </w:pPr>
      <w:r>
        <w:rPr>
          <w:rFonts w:cs="Times New Roman"/>
          <w:color w:val="000000"/>
          <w:lang w:val="pl-PL"/>
        </w:rPr>
        <w:t>c) została złożona po terminie składania ofert,</w:t>
      </w:r>
    </w:p>
    <w:p>
      <w:pPr>
        <w:pStyle w:val="Normalny"/>
        <w:widowControl/>
        <w:tabs>
          <w:tab w:val="clear" w:pos="706"/>
          <w:tab w:val="left" w:pos="0" w:leader="none"/>
          <w:tab w:val="center" w:pos="6336" w:leader="none"/>
          <w:tab w:val="right" w:pos="10872" w:leader="none"/>
        </w:tabs>
        <w:spacing w:lineRule="atLeast" w:line="200"/>
        <w:textAlignment w:val="auto"/>
        <w:rPr/>
      </w:pPr>
      <w:r>
        <w:rPr/>
      </w:r>
    </w:p>
    <w:p>
      <w:pPr>
        <w:pStyle w:val="Text"/>
        <w:rPr>
          <w:rFonts w:ascii="Times New Roman" w:hAnsi="Times New Roman" w:cs="Tahoma"/>
          <w:b/>
          <w:b/>
          <w:bCs/>
          <w:color w:val="000000"/>
          <w:sz w:val="24"/>
          <w:szCs w:val="24"/>
          <w:highlight w:val="white"/>
          <w:u w:val="single"/>
        </w:rPr>
      </w:pPr>
      <w:r>
        <w:rPr>
          <w:rFonts w:cs="Tahoma" w:ascii="Times New Roman" w:hAnsi="Times New Roman"/>
          <w:b/>
          <w:bCs/>
          <w:color w:val="000000"/>
          <w:sz w:val="24"/>
          <w:szCs w:val="24"/>
          <w:highlight w:val="white"/>
          <w:u w:val="single"/>
        </w:rPr>
        <w:t>XIX. Wymagania dotyczące zabezpieczenie należytego wykonania umowy.</w:t>
      </w:r>
    </w:p>
    <w:p>
      <w:pPr>
        <w:pStyle w:val="Text"/>
        <w:rPr>
          <w:rFonts w:ascii="Times New Roman" w:hAnsi="Times New Roman" w:cs="Tahoma"/>
          <w:b/>
          <w:b/>
          <w:bCs/>
          <w:color w:val="000000"/>
          <w:sz w:val="24"/>
          <w:szCs w:val="24"/>
          <w:highlight w:val="white"/>
          <w:u w:val="single"/>
        </w:rPr>
      </w:pPr>
      <w:r>
        <w:rPr>
          <w:rFonts w:cs="Tahoma" w:ascii="Times New Roman" w:hAnsi="Times New Roman"/>
          <w:b/>
          <w:bCs/>
          <w:color w:val="000000"/>
          <w:sz w:val="24"/>
          <w:szCs w:val="24"/>
          <w:highlight w:val="white"/>
          <w:u w:val="single"/>
        </w:rPr>
      </w:r>
    </w:p>
    <w:p>
      <w:pPr>
        <w:pStyle w:val="Text"/>
        <w:rPr>
          <w:rFonts w:ascii="Times New Roman" w:hAnsi="Times New Roman" w:cs="Times New Roman"/>
          <w:sz w:val="24"/>
          <w:szCs w:val="24"/>
          <w:lang w:val="pl-PL"/>
        </w:rPr>
      </w:pPr>
      <w:r>
        <w:rPr>
          <w:rFonts w:cs="Times New Roman" w:ascii="Times New Roman" w:hAnsi="Times New Roman"/>
          <w:sz w:val="24"/>
          <w:szCs w:val="24"/>
          <w:lang w:val="pl-PL"/>
        </w:rPr>
        <w:t>Zamawiający nie żąda wnoszenia zabezpieczenie należytego wykonania umowy.</w:t>
      </w:r>
    </w:p>
    <w:p>
      <w:pPr>
        <w:pStyle w:val="Normalny"/>
        <w:widowControl/>
        <w:tabs>
          <w:tab w:val="clear" w:pos="706"/>
          <w:tab w:val="left" w:pos="0" w:leader="none"/>
          <w:tab w:val="center" w:pos="6336" w:leader="none"/>
          <w:tab w:val="right" w:pos="10872" w:leader="none"/>
        </w:tabs>
        <w:spacing w:lineRule="atLeast" w:line="200"/>
        <w:textAlignment w:val="auto"/>
        <w:rPr/>
      </w:pPr>
      <w:r>
        <w:rPr/>
      </w:r>
    </w:p>
    <w:p>
      <w:pPr>
        <w:pStyle w:val="Tekstpodstawowywcity"/>
        <w:numPr>
          <w:ilvl w:val="0"/>
          <w:numId w:val="6"/>
        </w:numPr>
        <w:tabs>
          <w:tab w:val="center" w:pos="4896" w:leader="none"/>
          <w:tab w:val="right" w:pos="9432" w:leader="none"/>
        </w:tabs>
        <w:spacing w:lineRule="atLeast" w:line="200"/>
        <w:ind w:hanging="426"/>
        <w:jc w:val="both"/>
        <w:rPr>
          <w:rFonts w:ascii="Times New Roman" w:hAnsi="Times New Roman" w:cs="Tahoma"/>
          <w:b/>
          <w:b/>
          <w:bCs/>
          <w:color w:val="000000"/>
          <w:sz w:val="24"/>
          <w:szCs w:val="24"/>
          <w:highlight w:val="white"/>
          <w:u w:val="single"/>
        </w:rPr>
      </w:pPr>
      <w:r>
        <w:rPr>
          <w:rFonts w:cs="Tahoma" w:ascii="Times New Roman" w:hAnsi="Times New Roman"/>
          <w:b/>
          <w:bCs/>
          <w:color w:val="000000"/>
          <w:sz w:val="24"/>
          <w:szCs w:val="24"/>
          <w:highlight w:val="white"/>
          <w:u w:val="single"/>
        </w:rPr>
        <w:t>XX. Informacje dodatkowe</w:t>
      </w:r>
    </w:p>
    <w:p>
      <w:pPr>
        <w:pStyle w:val="Tekstpodstawowywcity"/>
        <w:numPr>
          <w:ilvl w:val="0"/>
          <w:numId w:val="6"/>
        </w:numPr>
        <w:tabs>
          <w:tab w:val="center" w:pos="4896" w:leader="none"/>
          <w:tab w:val="right" w:pos="9432" w:leader="none"/>
        </w:tabs>
        <w:spacing w:lineRule="atLeast" w:line="200"/>
        <w:jc w:val="both"/>
        <w:rPr>
          <w:rFonts w:ascii="Times New Roman" w:hAnsi="Times New Roman"/>
          <w:color w:val="000000"/>
          <w:szCs w:val="24"/>
        </w:rPr>
      </w:pPr>
      <w:r>
        <w:rPr>
          <w:rFonts w:ascii="Times New Roman" w:hAnsi="Times New Roman"/>
          <w:color w:val="000000"/>
          <w:szCs w:val="24"/>
        </w:rPr>
      </w:r>
    </w:p>
    <w:p>
      <w:pPr>
        <w:pStyle w:val="Normalny"/>
        <w:spacing w:lineRule="atLeast" w:line="240"/>
        <w:jc w:val="both"/>
        <w:rPr/>
      </w:pPr>
      <w:r>
        <w:rPr>
          <w:rStyle w:val="Domylnaczcionkaakapitu"/>
          <w:rFonts w:eastAsia="ArialMT" w:cs="Times New Roman"/>
          <w:i/>
          <w:color w:val="000000"/>
          <w:u w:val="single"/>
        </w:rPr>
        <w:t>Klauzula informacyjna z art. 13 RODO do zastosowania w celu związanym z postępowaniem                  o udzielenie zamówienia publicznego</w:t>
      </w:r>
    </w:p>
    <w:p>
      <w:pPr>
        <w:pStyle w:val="Normalny"/>
        <w:spacing w:lineRule="atLeast" w:line="240"/>
        <w:jc w:val="both"/>
        <w:rPr>
          <w:rFonts w:eastAsia="ArialMT" w:cs="Times New Roman"/>
          <w:color w:val="000000"/>
        </w:rPr>
      </w:pPr>
      <w:r>
        <w:rPr>
          <w:rFonts w:eastAsia="ArialMT" w:cs="Times New Roman"/>
          <w:color w:val="000000"/>
        </w:rPr>
      </w:r>
    </w:p>
    <w:p>
      <w:pPr>
        <w:pStyle w:val="Normalny"/>
        <w:spacing w:lineRule="atLeast" w:line="240"/>
        <w:jc w:val="both"/>
        <w:rPr/>
      </w:pPr>
      <w:r>
        <w:rPr>
          <w:rStyle w:val="Domylnaczcionkaakapitu"/>
          <w:rFonts w:cs="Times New Roman"/>
          <w:color w:val="000000"/>
        </w:rPr>
        <w:t xml:space="preserve">Zgodnie z art. 13 ust. 1 i 2 </w:t>
      </w:r>
      <w:r>
        <w:rPr>
          <w:rStyle w:val="Domylnaczcionkaakapitu"/>
          <w:rFonts w:eastAsia="ArialMT" w:cs="Times New Roman"/>
          <w:color w:val="00000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Pr>
          <w:rStyle w:val="Domylnaczcionkaakapitu"/>
          <w:rFonts w:cs="Times New Roman"/>
          <w:color w:val="000000"/>
        </w:rPr>
        <w:t xml:space="preserve">dalej „RODO”, informuję, że: </w:t>
      </w:r>
    </w:p>
    <w:p>
      <w:pPr>
        <w:pStyle w:val="Tekst"/>
        <w:numPr>
          <w:ilvl w:val="0"/>
          <w:numId w:val="7"/>
        </w:numPr>
        <w:spacing w:before="0" w:after="0"/>
        <w:rPr/>
      </w:pPr>
      <w:r>
        <w:rPr>
          <w:rStyle w:val="Domylnaczcionkaakapitu"/>
          <w:rFonts w:eastAsia="Times New Roman" w:cs="Times New Roman" w:ascii="Times New Roman" w:hAnsi="Times New Roman"/>
          <w:i w:val="false"/>
          <w:iCs w:val="false"/>
          <w:sz w:val="24"/>
          <w:szCs w:val="24"/>
          <w:lang w:val="pl-PL"/>
        </w:rPr>
        <w:t>administratorem Pani/Pana danych osobowych jest Dyrektor z siedzibą w Szkole Podstawowej nr 1 z Oddziałami Integracyjnymi w Gołdapi (19-500) przy ulicy Szkolnej 4</w:t>
      </w:r>
      <w:r>
        <w:rPr>
          <w:rStyle w:val="Domylnaczcionkaakapitu"/>
          <w:rFonts w:eastAsia="Times New Roman" w:cs="Times New Roman" w:ascii="Times New Roman" w:hAnsi="Times New Roman"/>
          <w:i w:val="false"/>
          <w:iCs w:val="false"/>
          <w:color w:val="000000"/>
          <w:sz w:val="24"/>
          <w:szCs w:val="24"/>
          <w:lang w:val="pl-PL"/>
        </w:rPr>
        <w:t>;</w:t>
      </w:r>
    </w:p>
    <w:p>
      <w:pPr>
        <w:pStyle w:val="Tekst"/>
        <w:numPr>
          <w:ilvl w:val="0"/>
          <w:numId w:val="7"/>
        </w:numPr>
        <w:spacing w:before="0" w:after="0"/>
        <w:rPr>
          <w:rFonts w:ascii="Times New Roman" w:hAnsi="Times New Roman" w:eastAsia="Times New Roman" w:cs="Times New Roman"/>
          <w:i w:val="false"/>
          <w:i w:val="false"/>
          <w:iCs w:val="false"/>
          <w:sz w:val="24"/>
          <w:szCs w:val="24"/>
          <w:lang w:val="pl-PL"/>
        </w:rPr>
      </w:pPr>
      <w:r>
        <w:rPr>
          <w:rFonts w:eastAsia="Times New Roman" w:cs="Times New Roman" w:ascii="Times New Roman" w:hAnsi="Times New Roman"/>
          <w:i w:val="false"/>
          <w:iCs w:val="false"/>
          <w:sz w:val="24"/>
          <w:szCs w:val="24"/>
          <w:lang w:val="pl-PL"/>
        </w:rPr>
        <w:t>kontakt z inspektorem ochrony danych osobowych w Szkole Podstawowej nr 1 z Oddziałami Integracyjnymi w Gołdapi - iod@goldap.pl,</w:t>
      </w:r>
    </w:p>
    <w:p>
      <w:pPr>
        <w:pStyle w:val="Normalny"/>
        <w:widowControl/>
        <w:numPr>
          <w:ilvl w:val="0"/>
          <w:numId w:val="7"/>
        </w:numPr>
        <w:tabs>
          <w:tab w:val="clear" w:pos="706"/>
          <w:tab w:val="left" w:pos="-4320" w:leader="none"/>
          <w:tab w:val="left" w:pos="-3600" w:leader="none"/>
        </w:tabs>
        <w:spacing w:lineRule="atLeast" w:line="240"/>
        <w:jc w:val="both"/>
        <w:textAlignment w:val="auto"/>
        <w:rPr/>
      </w:pPr>
      <w:r>
        <w:rPr>
          <w:rStyle w:val="Domylnaczcionkaakapitu"/>
          <w:rFonts w:cs="Times New Roman"/>
          <w:color w:val="000000"/>
        </w:rPr>
        <w:t>Pani/Pana dane osobowe przetwarzane będą na podstawie art. 6 ust. 1 lit. c</w:t>
      </w:r>
      <w:r>
        <w:rPr>
          <w:rStyle w:val="Domylnaczcionkaakapitu"/>
          <w:rFonts w:cs="Times New Roman"/>
          <w:i/>
          <w:color w:val="000000"/>
        </w:rPr>
        <w:t xml:space="preserve"> </w:t>
      </w:r>
      <w:r>
        <w:rPr>
          <w:rStyle w:val="Domylnaczcionkaakapitu"/>
          <w:rFonts w:cs="Times New Roman"/>
          <w:color w:val="000000"/>
        </w:rPr>
        <w:t xml:space="preserve">RODO w celu </w:t>
      </w:r>
      <w:r>
        <w:rPr>
          <w:rStyle w:val="Domylnaczcionkaakapitu"/>
          <w:rFonts w:eastAsia="ArialMT" w:cs="Times New Roman"/>
          <w:color w:val="000000"/>
        </w:rPr>
        <w:t>związanym z niniejszym postępowaniem.</w:t>
      </w:r>
      <w:r>
        <w:rPr>
          <w:rStyle w:val="Domylnaczcionkaakapitu"/>
          <w:rFonts w:cs="Times New Roman"/>
          <w:color w:val="000000"/>
        </w:rPr>
        <w:t xml:space="preserve"> Pani/ Pana dane osobowe przetwarzane będą w szczególności w celu przeprowadzenia postępowania o udzielenie zamówienia publicznego, realizacji umowy zawartej w wyniku jego rozstrzygnięcia, w celach archiwalnych i statystycznych, kontrolnych, audytowych, sprawozdawczych oraz działań informacyjno - promocyjnych</w:t>
      </w:r>
    </w:p>
    <w:p>
      <w:pPr>
        <w:pStyle w:val="Normalny"/>
        <w:widowControl/>
        <w:numPr>
          <w:ilvl w:val="0"/>
          <w:numId w:val="7"/>
        </w:numPr>
        <w:tabs>
          <w:tab w:val="clear" w:pos="706"/>
          <w:tab w:val="left" w:pos="-4320" w:leader="none"/>
          <w:tab w:val="left" w:pos="-3600" w:leader="none"/>
        </w:tabs>
        <w:spacing w:lineRule="atLeast" w:line="200"/>
        <w:jc w:val="both"/>
        <w:textAlignment w:val="auto"/>
        <w:rPr>
          <w:rFonts w:cs="Times New Roman"/>
          <w:color w:val="000000"/>
        </w:rPr>
      </w:pPr>
      <w:r>
        <w:rPr>
          <w:rFonts w:cs="Times New Roman"/>
          <w:color w:val="000000"/>
        </w:rPr>
        <w:t xml:space="preserve">Pani/ Pana dane osobowe mogą być udostępniane organom i osobom uprawionym do przeprowadzenia w Szkole Podstawowej nr 1 z Oddziałmi Intergacyjnymi w Gołdapi, czynności kontrolnych oraz audytowych; </w:t>
      </w:r>
    </w:p>
    <w:p>
      <w:pPr>
        <w:pStyle w:val="Normalny"/>
        <w:widowControl/>
        <w:numPr>
          <w:ilvl w:val="0"/>
          <w:numId w:val="7"/>
        </w:numPr>
        <w:tabs>
          <w:tab w:val="clear" w:pos="706"/>
          <w:tab w:val="left" w:pos="-4320" w:leader="none"/>
          <w:tab w:val="left" w:pos="-3600" w:leader="none"/>
        </w:tabs>
        <w:spacing w:lineRule="atLeast" w:line="200"/>
        <w:jc w:val="both"/>
        <w:textAlignment w:val="auto"/>
        <w:rPr/>
      </w:pPr>
      <w:r>
        <w:rPr>
          <w:rStyle w:val="Domylnaczcionkaakapitu"/>
          <w:rFonts w:eastAsia="Times New Roman"/>
          <w:lang w:eastAsia="pl-PL"/>
        </w:rPr>
        <w:t>Pani/Pana dane osobowe będą przechowywane, przez okres 4 lat od dnia zakończenia postępowania o udzielenie zamówienia, a jeżeli czas trwania umowy przekracza 4 lata, okres przechowywania obejmuje cały czas trwania umowy;</w:t>
      </w:r>
    </w:p>
    <w:p>
      <w:pPr>
        <w:pStyle w:val="Normalny"/>
        <w:widowControl/>
        <w:numPr>
          <w:ilvl w:val="0"/>
          <w:numId w:val="7"/>
        </w:numPr>
        <w:tabs>
          <w:tab w:val="clear" w:pos="706"/>
          <w:tab w:val="left" w:pos="-4320" w:leader="none"/>
          <w:tab w:val="left" w:pos="-3600" w:leader="none"/>
        </w:tabs>
        <w:spacing w:lineRule="atLeast" w:line="200"/>
        <w:jc w:val="both"/>
        <w:textAlignment w:val="auto"/>
        <w:rPr/>
      </w:pPr>
      <w:r>
        <w:rPr>
          <w:rStyle w:val="Domylnaczcionkaakapitu"/>
          <w:rFonts w:eastAsia="Times New Roman"/>
          <w:lang w:eastAsia="pl-PL"/>
        </w:rPr>
        <w:t>obowiązek podania przez Panią/Pana danych osobowych bezpośrednio Pani/Pana dotyczących jest wymogiem ustawowym określonym w przepisach ustawy Pzp, związanym z udziałem</w:t>
      </w:r>
      <w:r>
        <w:rPr>
          <w:rStyle w:val="Domylnaczcionkaakapitu"/>
          <w:rFonts w:eastAsia="Times New Roman"/>
          <w:lang w:val="pl-PL" w:eastAsia="pl-PL"/>
        </w:rPr>
        <w:t xml:space="preserve"> </w:t>
      </w:r>
      <w:r>
        <w:rPr>
          <w:rStyle w:val="Domylnaczcionkaakapitu"/>
          <w:rFonts w:eastAsia="Times New Roman"/>
          <w:lang w:eastAsia="pl-PL"/>
        </w:rPr>
        <w:t xml:space="preserve">w postępowaniu o udzielenie zamówienia publicznego; konsekwencje niepodania określonych danych wynikają z ustawy Pzp;  </w:t>
      </w:r>
    </w:p>
    <w:p>
      <w:pPr>
        <w:pStyle w:val="Normalny"/>
        <w:widowControl/>
        <w:numPr>
          <w:ilvl w:val="0"/>
          <w:numId w:val="7"/>
        </w:numPr>
        <w:tabs>
          <w:tab w:val="clear" w:pos="706"/>
          <w:tab w:val="left" w:pos="-4320" w:leader="none"/>
          <w:tab w:val="left" w:pos="-3600" w:leader="none"/>
        </w:tabs>
        <w:spacing w:lineRule="atLeast" w:line="200"/>
        <w:jc w:val="both"/>
        <w:textAlignment w:val="auto"/>
        <w:rPr/>
      </w:pPr>
      <w:r>
        <w:rPr>
          <w:rStyle w:val="Domylnaczcionkaakapitu"/>
          <w:rFonts w:eastAsia="Times New Roman"/>
          <w:lang w:eastAsia="pl-PL"/>
        </w:rPr>
        <w:t>w odniesieniu do Pani/Pana danych osobowych decyzje nie będą podejmowane w sposób zautomatyzowany, stosowanie do art. 22 RODO;</w:t>
      </w:r>
    </w:p>
    <w:p>
      <w:pPr>
        <w:pStyle w:val="Normalny"/>
        <w:widowControl/>
        <w:numPr>
          <w:ilvl w:val="0"/>
          <w:numId w:val="7"/>
        </w:numPr>
        <w:tabs>
          <w:tab w:val="clear" w:pos="706"/>
          <w:tab w:val="left" w:pos="-4320" w:leader="none"/>
          <w:tab w:val="left" w:pos="-3600" w:leader="none"/>
        </w:tabs>
        <w:spacing w:lineRule="atLeast" w:line="200"/>
        <w:jc w:val="both"/>
        <w:textAlignment w:val="auto"/>
        <w:rPr/>
      </w:pPr>
      <w:r>
        <w:rPr>
          <w:rStyle w:val="Domylnaczcionkaakapitu"/>
          <w:rFonts w:eastAsia="Times New Roman"/>
          <w:lang w:eastAsia="pl-PL"/>
        </w:rPr>
        <w:t>posiada Pani/Pan:</w:t>
      </w:r>
    </w:p>
    <w:p>
      <w:pPr>
        <w:pStyle w:val="Akapitzlist"/>
        <w:widowControl/>
        <w:numPr>
          <w:ilvl w:val="0"/>
          <w:numId w:val="8"/>
        </w:numPr>
        <w:suppressAutoHyphens w:val="false"/>
        <w:spacing w:before="0" w:after="150"/>
        <w:jc w:val="both"/>
        <w:textAlignment w:val="auto"/>
        <w:rPr/>
      </w:pPr>
      <w:r>
        <w:rPr>
          <w:rStyle w:val="Domylnaczcionkaakapitu"/>
          <w:rFonts w:eastAsia="Times New Roman"/>
          <w:lang w:eastAsia="pl-PL"/>
        </w:rPr>
        <w:t>na podstawie art. 15 RODO prawo dostępu do danych osobowych Pani/Pana dotyczących;</w:t>
      </w:r>
    </w:p>
    <w:p>
      <w:pPr>
        <w:pStyle w:val="Akapitzlist"/>
        <w:widowControl/>
        <w:numPr>
          <w:ilvl w:val="0"/>
          <w:numId w:val="8"/>
        </w:numPr>
        <w:suppressAutoHyphens w:val="false"/>
        <w:spacing w:before="0" w:after="150"/>
        <w:jc w:val="both"/>
        <w:textAlignment w:val="auto"/>
        <w:rPr/>
      </w:pPr>
      <w:r>
        <w:rPr>
          <w:rStyle w:val="Domylnaczcionkaakapitu"/>
          <w:rFonts w:eastAsia="Times New Roman"/>
          <w:lang w:eastAsia="pl-PL"/>
        </w:rPr>
        <w:t xml:space="preserve">na podstawie art. 16 RODO prawo do sprostowania Pani/Pana danych osobowych </w:t>
      </w:r>
      <w:r>
        <w:rPr>
          <w:rStyle w:val="Domylnaczcionkaakapitu"/>
          <w:rFonts w:eastAsia="Times New Roman"/>
          <w:b/>
          <w:position w:val="24"/>
          <w:sz w:val="16"/>
          <w:lang w:eastAsia="pl-PL"/>
        </w:rPr>
        <w:t>**</w:t>
      </w:r>
      <w:r>
        <w:rPr>
          <w:rStyle w:val="Domylnaczcionkaakapitu"/>
          <w:rFonts w:eastAsia="Times New Roman"/>
          <w:lang w:eastAsia="pl-PL"/>
        </w:rPr>
        <w:t>;</w:t>
      </w:r>
    </w:p>
    <w:p>
      <w:pPr>
        <w:pStyle w:val="Akapitzlist"/>
        <w:widowControl/>
        <w:numPr>
          <w:ilvl w:val="0"/>
          <w:numId w:val="8"/>
        </w:numPr>
        <w:suppressAutoHyphens w:val="false"/>
        <w:spacing w:before="0" w:after="150"/>
        <w:jc w:val="both"/>
        <w:textAlignment w:val="auto"/>
        <w:rPr>
          <w:rFonts w:eastAsia="Times New Roman"/>
          <w:lang w:eastAsia="pl-PL"/>
        </w:rPr>
      </w:pPr>
      <w:r>
        <w:rPr>
          <w:rFonts w:eastAsia="Times New Roman"/>
          <w:lang w:eastAsia="pl-PL"/>
        </w:rPr>
        <w:t xml:space="preserve">na podstawie art. 18 RODO prawo żądania od administratora ograniczenia przetwarzania danych osobowych z zastrzeżeniem przypadków, o których mowa w art. 18 ust. 2 RODO;  </w:t>
      </w:r>
    </w:p>
    <w:p>
      <w:pPr>
        <w:pStyle w:val="Akapitzlist"/>
        <w:widowControl/>
        <w:numPr>
          <w:ilvl w:val="0"/>
          <w:numId w:val="8"/>
        </w:numPr>
        <w:suppressAutoHyphens w:val="false"/>
        <w:spacing w:before="0" w:after="150"/>
        <w:jc w:val="both"/>
        <w:textAlignment w:val="auto"/>
        <w:rPr/>
      </w:pPr>
      <w:r>
        <w:rPr>
          <w:rStyle w:val="Domylnaczcionkaakapitu"/>
          <w:rFonts w:eastAsia="Times New Roman"/>
          <w:lang w:eastAsia="pl-PL"/>
        </w:rPr>
        <w:t>prawo do wniesienia skargi do Prezesa Urzędu Ochrony Danych Osobowych, gdy uzna Pani/Pan, że przetwarzanie danych osobowych Pani/Pana dotyczących narusza przepisy RODO;</w:t>
      </w:r>
    </w:p>
    <w:p>
      <w:pPr>
        <w:pStyle w:val="Akapitzlist"/>
        <w:widowControl/>
        <w:numPr>
          <w:ilvl w:val="0"/>
          <w:numId w:val="9"/>
        </w:numPr>
        <w:suppressAutoHyphens w:val="false"/>
        <w:spacing w:before="0" w:after="150"/>
        <w:jc w:val="both"/>
        <w:textAlignment w:val="auto"/>
        <w:rPr/>
      </w:pPr>
      <w:r>
        <w:rPr>
          <w:rStyle w:val="Domylnaczcionkaakapitu"/>
          <w:rFonts w:eastAsia="Times New Roman"/>
          <w:lang w:eastAsia="pl-PL"/>
        </w:rPr>
        <w:t>nie przysługuje Pani/Panu:</w:t>
      </w:r>
    </w:p>
    <w:p>
      <w:pPr>
        <w:pStyle w:val="Akapitzlist"/>
        <w:widowControl/>
        <w:numPr>
          <w:ilvl w:val="0"/>
          <w:numId w:val="10"/>
        </w:numPr>
        <w:tabs>
          <w:tab w:val="left" w:pos="0" w:leader="none"/>
        </w:tabs>
        <w:suppressAutoHyphens w:val="false"/>
        <w:spacing w:before="0" w:after="150"/>
        <w:ind w:left="1134" w:hanging="425"/>
        <w:jc w:val="both"/>
        <w:textAlignment w:val="auto"/>
        <w:rPr/>
      </w:pPr>
      <w:r>
        <w:rPr>
          <w:rStyle w:val="Domylnaczcionkaakapitu"/>
          <w:rFonts w:eastAsia="Times New Roman"/>
          <w:lang w:eastAsia="pl-PL"/>
        </w:rPr>
        <w:t>w związku z art. 17 ust. 3 lit. b, d lub e RODO prawo do usunięcia danych osobowych;</w:t>
      </w:r>
    </w:p>
    <w:p>
      <w:pPr>
        <w:pStyle w:val="Akapitzlist"/>
        <w:widowControl/>
        <w:numPr>
          <w:ilvl w:val="0"/>
          <w:numId w:val="10"/>
        </w:numPr>
        <w:tabs>
          <w:tab w:val="left" w:pos="0" w:leader="none"/>
        </w:tabs>
        <w:suppressAutoHyphens w:val="false"/>
        <w:spacing w:before="0" w:after="150"/>
        <w:ind w:left="1134" w:hanging="425"/>
        <w:jc w:val="both"/>
        <w:textAlignment w:val="auto"/>
        <w:rPr/>
      </w:pPr>
      <w:r>
        <w:rPr>
          <w:rStyle w:val="Domylnaczcionkaakapitu"/>
          <w:rFonts w:eastAsia="Times New Roman"/>
          <w:lang w:eastAsia="pl-PL"/>
        </w:rPr>
        <w:t>prawo do przenoszenia danych osobowych, o którym mowa w art. 20 RODO;</w:t>
      </w:r>
    </w:p>
    <w:p>
      <w:pPr>
        <w:pStyle w:val="Akapitzlist"/>
        <w:widowControl/>
        <w:numPr>
          <w:ilvl w:val="0"/>
          <w:numId w:val="10"/>
        </w:numPr>
        <w:tabs>
          <w:tab w:val="left" w:pos="0" w:leader="none"/>
        </w:tabs>
        <w:suppressAutoHyphens w:val="false"/>
        <w:spacing w:before="0" w:after="150"/>
        <w:ind w:left="1134" w:hanging="425"/>
        <w:jc w:val="both"/>
        <w:textAlignment w:val="auto"/>
        <w:rPr/>
      </w:pPr>
      <w:r>
        <w:rPr>
          <w:rStyle w:val="Domylnaczcionkaakapitu"/>
          <w:rFonts w:eastAsia="Times New Roman"/>
          <w:b/>
          <w:lang w:eastAsia="pl-PL"/>
        </w:rPr>
        <w:t>na podstawie art. 21 RODO prawo sprzeciwu, wobec przetwarzania danych osobowych, gdyż podstawą prawną przetwarzania Pani/Pana danych osobowych jest art. 6 ust. 1 lit. c RODO</w:t>
      </w:r>
      <w:r>
        <w:rPr>
          <w:rStyle w:val="Domylnaczcionkaakapitu"/>
          <w:rFonts w:eastAsia="Times New Roman"/>
          <w:lang w:eastAsia="pl-PL"/>
        </w:rPr>
        <w:t>.</w:t>
      </w:r>
      <w:r>
        <w:rPr>
          <w:rStyle w:val="Domylnaczcionkaakapitu"/>
          <w:rFonts w:eastAsia="Times New Roman"/>
          <w:b/>
          <w:lang w:eastAsia="pl-PL"/>
        </w:rPr>
        <w:t xml:space="preserve"> </w:t>
      </w:r>
    </w:p>
    <w:p>
      <w:pPr>
        <w:pStyle w:val="Normalny"/>
        <w:widowControl/>
        <w:numPr>
          <w:ilvl w:val="0"/>
          <w:numId w:val="13"/>
        </w:numPr>
        <w:tabs>
          <w:tab w:val="clear" w:pos="706"/>
          <w:tab w:val="left" w:pos="0" w:leader="none"/>
          <w:tab w:val="center" w:pos="6336" w:leader="none"/>
          <w:tab w:val="right" w:pos="10872" w:leader="none"/>
        </w:tabs>
        <w:spacing w:lineRule="atLeast" w:line="200"/>
        <w:textAlignment w:val="auto"/>
        <w:rPr/>
      </w:pPr>
      <w:r>
        <w:rPr>
          <w:rStyle w:val="Hipercze"/>
          <w:b/>
          <w:bCs/>
          <w:color w:val="000000"/>
          <w:u w:val="none"/>
        </w:rPr>
        <w:tab/>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auto"/>
          <w:u w:val="none"/>
        </w:rPr>
        <w:t>Załączniki:</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auto"/>
          <w:u w:val="none"/>
        </w:rPr>
        <w:t>Załącznik nr 1</w:t>
      </w:r>
      <w:r>
        <w:rPr>
          <w:rStyle w:val="Hipercze"/>
          <w:color w:val="auto"/>
          <w:u w:val="none"/>
        </w:rPr>
        <w:t xml:space="preserve"> – Formularz ofertowym</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auto"/>
          <w:u w:val="none"/>
        </w:rPr>
        <w:t xml:space="preserve">Załącznik nr 2 – </w:t>
      </w:r>
      <w:r>
        <w:rPr>
          <w:rStyle w:val="Hipercze"/>
          <w:color w:val="auto"/>
          <w:u w:val="none"/>
        </w:rPr>
        <w:t>Projekt budowlany</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auto"/>
          <w:u w:val="none"/>
        </w:rPr>
        <w:t xml:space="preserve">Załącznik nr 3 - </w:t>
      </w:r>
      <w:r>
        <w:rPr>
          <w:rStyle w:val="Hipercze"/>
          <w:bCs/>
          <w:color w:val="auto"/>
          <w:u w:val="none"/>
        </w:rPr>
        <w:t xml:space="preserve">Przedmiar robót </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auto"/>
          <w:u w:val="none"/>
        </w:rPr>
        <w:t>Załącznik nr 4 –</w:t>
      </w:r>
      <w:r>
        <w:rPr/>
        <w:t xml:space="preserve"> SST</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auto"/>
          <w:u w:val="none"/>
        </w:rPr>
        <w:t>Załącznik nr 5 –</w:t>
      </w:r>
      <w:r>
        <w:rPr/>
        <w:t xml:space="preserve"> Wzór umowy</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Style w:val="Hipercze"/>
          <w:b/>
          <w:bCs/>
          <w:color w:val="auto"/>
          <w:u w:val="none"/>
        </w:rPr>
        <w:t>załacznik nr 6 –</w:t>
      </w:r>
      <w:r>
        <w:rPr/>
        <w:t xml:space="preserve"> Wykaz osób</w:t>
      </w:r>
    </w:p>
    <w:p>
      <w:pPr>
        <w:pStyle w:val="Normalny"/>
        <w:widowControl/>
        <w:numPr>
          <w:ilvl w:val="0"/>
          <w:numId w:val="13"/>
        </w:numPr>
        <w:tabs>
          <w:tab w:val="clear" w:pos="706"/>
          <w:tab w:val="left" w:pos="0" w:leader="none"/>
          <w:tab w:val="left" w:pos="1440" w:leader="none"/>
          <w:tab w:val="center" w:pos="5616" w:leader="none"/>
          <w:tab w:val="right" w:pos="10152" w:leader="none"/>
        </w:tabs>
        <w:spacing w:lineRule="atLeast" w:line="200"/>
        <w:textAlignment w:val="auto"/>
        <w:rPr/>
      </w:pPr>
      <w:r>
        <w:rPr/>
      </w:r>
    </w:p>
    <w:p>
      <w:pPr>
        <w:pStyle w:val="Normal"/>
        <w:rPr/>
      </w:pPr>
      <w:r>
        <w:rPr/>
      </w:r>
    </w:p>
    <w:sectPr>
      <w:headerReference w:type="default" r:id="rId7"/>
      <w:type w:val="nextPage"/>
      <w:pgSz w:w="11905" w:h="16837"/>
      <w:pgMar w:left="1134" w:right="1134" w:header="708" w:top="1134" w:footer="0" w:bottom="708"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OpenSymbol">
    <w:altName w:val="Arial Unicode MS"/>
    <w:charset w:val="ee"/>
    <w:family w:val="auto"/>
    <w:pitch w:val="default"/>
  </w:font>
  <w:font w:name="Segoe UI">
    <w:charset w:val="ee"/>
    <w:family w:val="swiss"/>
    <w:pitch w:val="variable"/>
  </w:font>
  <w:font w:name="Arial">
    <w:charset w:val="ee"/>
    <w:family w:val="swiss"/>
    <w:pitch w:val="variable"/>
  </w:font>
  <w:font w:name="Wingdings">
    <w:charset w:val="02"/>
    <w:family w:val="auto"/>
    <w:pitch w:val="variable"/>
  </w:font>
  <w:font w:name="Courier New">
    <w:charset w:val="ee"/>
    <w:family w:val="modern"/>
    <w:pitch w:val="fixed"/>
  </w:font>
  <w:font w:name="Open Sans">
    <w:charset w:val="ee"/>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agwek"/>
      <w:spacing w:before="0" w:after="40"/>
      <w:jc w:val="center"/>
      <w:rPr>
        <w:rFonts w:ascii="Open Sans" w:hAnsi="Open Sans" w:cs="Open Sans"/>
        <w:color w:val="6666FF"/>
        <w:sz w:val="20"/>
        <w:szCs w:val="20"/>
        <w:lang w:eastAsia="pl-PL"/>
      </w:rPr>
    </w:pPr>
    <w:r>
      <w:rPr>
        <w:rFonts w:cs="Open Sans" w:ascii="Open Sans" w:hAnsi="Open Sans"/>
        <w:color w:val="6666FF"/>
        <w:sz w:val="20"/>
        <w:szCs w:val="20"/>
        <w:lang w:eastAsia="pl-PL"/>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lowerLetter"/>
      <w:lvlText w:val="%1)"/>
      <w:lvlJc w:val="left"/>
      <w:pPr>
        <w:ind w:left="720" w:hanging="360"/>
      </w:pPr>
      <w:rPr>
        <w:sz w:val="24"/>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7">
    <w:lvl w:ilvl="0">
      <w:start w:val="1"/>
      <w:numFmt w:val="bullet"/>
      <w:lvlText w:val=""/>
      <w:lvlJc w:val="left"/>
      <w:pPr>
        <w:ind w:left="720" w:hanging="360"/>
      </w:pPr>
      <w:rPr>
        <w:rFonts w:ascii="Symbol" w:hAnsi="Symbol" w:cs="Symbol" w:hint="default"/>
        <w:sz w:val="24"/>
        <w:i w:val="false"/>
        <w:b w:val="false"/>
        <w:szCs w:val="24"/>
        <w:bCs/>
        <w:rFonts w:cs="Times New Roman"/>
        <w:lang w:val="pl-PL"/>
      </w:rPr>
    </w:lvl>
    <w:lvl w:ilvl="1">
      <w:start w:val="1"/>
      <w:numFmt w:val="bullet"/>
      <w:lvlText w:val=""/>
      <w:lvlJc w:val="left"/>
      <w:pPr>
        <w:ind w:left="1080" w:hanging="360"/>
      </w:pPr>
      <w:rPr>
        <w:rFonts w:ascii="Symbol" w:hAnsi="Symbol" w:cs="Symbol" w:hint="default"/>
        <w:sz w:val="24"/>
        <w:i w:val="false"/>
        <w:b w:val="false"/>
        <w:szCs w:val="24"/>
        <w:bCs/>
        <w:rFonts w:cs="Times New Roman"/>
        <w:lang w:val="pl-PL"/>
      </w:rPr>
    </w:lvl>
    <w:lvl w:ilvl="2">
      <w:start w:val="1"/>
      <w:numFmt w:val="bullet"/>
      <w:lvlText w:val=""/>
      <w:lvlJc w:val="left"/>
      <w:pPr>
        <w:ind w:left="1440" w:hanging="360"/>
      </w:pPr>
      <w:rPr>
        <w:rFonts w:ascii="Symbol" w:hAnsi="Symbol" w:cs="Symbol" w:hint="default"/>
        <w:sz w:val="24"/>
        <w:i w:val="false"/>
        <w:b w:val="false"/>
        <w:szCs w:val="24"/>
        <w:bCs/>
        <w:rFonts w:cs="Times New Roman"/>
        <w:lang w:val="pl-PL"/>
      </w:rPr>
    </w:lvl>
    <w:lvl w:ilvl="3">
      <w:start w:val="1"/>
      <w:numFmt w:val="bullet"/>
      <w:lvlText w:val=""/>
      <w:lvlJc w:val="left"/>
      <w:pPr>
        <w:ind w:left="1800" w:hanging="360"/>
      </w:pPr>
      <w:rPr>
        <w:rFonts w:ascii="Symbol" w:hAnsi="Symbol" w:cs="Symbol" w:hint="default"/>
        <w:sz w:val="24"/>
        <w:i w:val="false"/>
        <w:b w:val="false"/>
        <w:szCs w:val="24"/>
        <w:bCs/>
        <w:rFonts w:cs="Times New Roman"/>
        <w:lang w:val="pl-PL"/>
      </w:rPr>
    </w:lvl>
    <w:lvl w:ilvl="4">
      <w:start w:val="1"/>
      <w:numFmt w:val="bullet"/>
      <w:lvlText w:val=""/>
      <w:lvlJc w:val="left"/>
      <w:pPr>
        <w:ind w:left="2160" w:hanging="360"/>
      </w:pPr>
      <w:rPr>
        <w:rFonts w:ascii="Symbol" w:hAnsi="Symbol" w:cs="Symbol" w:hint="default"/>
        <w:sz w:val="24"/>
        <w:i w:val="false"/>
        <w:b w:val="false"/>
        <w:szCs w:val="24"/>
        <w:bCs/>
        <w:rFonts w:cs="Times New Roman"/>
        <w:lang w:val="pl-PL"/>
      </w:rPr>
    </w:lvl>
    <w:lvl w:ilvl="5">
      <w:start w:val="1"/>
      <w:numFmt w:val="bullet"/>
      <w:lvlText w:val=""/>
      <w:lvlJc w:val="left"/>
      <w:pPr>
        <w:ind w:left="2520" w:hanging="360"/>
      </w:pPr>
      <w:rPr>
        <w:rFonts w:ascii="Symbol" w:hAnsi="Symbol" w:cs="Symbol" w:hint="default"/>
        <w:sz w:val="24"/>
        <w:i w:val="false"/>
        <w:b w:val="false"/>
        <w:szCs w:val="24"/>
        <w:bCs/>
        <w:rFonts w:cs="Times New Roman"/>
        <w:lang w:val="pl-PL"/>
      </w:rPr>
    </w:lvl>
    <w:lvl w:ilvl="6">
      <w:start w:val="1"/>
      <w:numFmt w:val="bullet"/>
      <w:lvlText w:val=""/>
      <w:lvlJc w:val="left"/>
      <w:pPr>
        <w:ind w:left="2880" w:hanging="360"/>
      </w:pPr>
      <w:rPr>
        <w:rFonts w:ascii="Symbol" w:hAnsi="Symbol" w:cs="Symbol" w:hint="default"/>
        <w:sz w:val="24"/>
        <w:i w:val="false"/>
        <w:b w:val="false"/>
        <w:szCs w:val="24"/>
        <w:bCs/>
        <w:rFonts w:cs="Times New Roman"/>
        <w:lang w:val="pl-PL"/>
      </w:rPr>
    </w:lvl>
    <w:lvl w:ilvl="7">
      <w:start w:val="1"/>
      <w:numFmt w:val="bullet"/>
      <w:lvlText w:val=""/>
      <w:lvlJc w:val="left"/>
      <w:pPr>
        <w:ind w:left="3240" w:hanging="360"/>
      </w:pPr>
      <w:rPr>
        <w:rFonts w:ascii="Symbol" w:hAnsi="Symbol" w:cs="Symbol" w:hint="default"/>
        <w:sz w:val="24"/>
        <w:i w:val="false"/>
        <w:b w:val="false"/>
        <w:szCs w:val="24"/>
        <w:bCs/>
        <w:rFonts w:cs="Times New Roman"/>
        <w:lang w:val="pl-PL"/>
      </w:rPr>
    </w:lvl>
    <w:lvl w:ilvl="8">
      <w:start w:val="1"/>
      <w:numFmt w:val="bullet"/>
      <w:lvlText w:val=""/>
      <w:lvlJc w:val="left"/>
      <w:pPr>
        <w:ind w:left="3600" w:hanging="360"/>
      </w:pPr>
      <w:rPr>
        <w:rFonts w:ascii="Symbol" w:hAnsi="Symbol" w:cs="Symbol" w:hint="default"/>
        <w:sz w:val="24"/>
        <w:i w:val="false"/>
        <w:b w:val="false"/>
        <w:szCs w:val="24"/>
        <w:bCs/>
        <w:rFonts w:cs="Times New Roman"/>
        <w:lang w:val="pl-PL"/>
      </w:rPr>
    </w:lvl>
  </w:abstractNum>
  <w:abstractNum w:abstractNumId="8">
    <w:lvl w:ilvl="0">
      <w:start w:val="1"/>
      <w:numFmt w:val="bullet"/>
      <w:lvlText w:val=""/>
      <w:lvlJc w:val="left"/>
      <w:pPr>
        <w:ind w:left="1146" w:hanging="360"/>
      </w:pPr>
      <w:rPr>
        <w:rFonts w:ascii="Symbol" w:hAnsi="Symbol" w:cs="Symbol" w:hint="default"/>
        <w:color w:val="auto"/>
      </w:rPr>
    </w:lvl>
    <w:lvl w:ilvl="1">
      <w:start w:val="1"/>
      <w:numFmt w:val="bullet"/>
      <w:lvlText w:val="o"/>
      <w:lvlJc w:val="left"/>
      <w:pPr>
        <w:ind w:left="1866" w:hanging="360"/>
      </w:pPr>
      <w:rPr>
        <w:rFonts w:ascii="Courier New" w:hAnsi="Courier New" w:cs="Courier New" w:hint="default"/>
        <w:rFonts w:cs="Courier New"/>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Fonts w:cs="Courier New"/>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Fonts w:cs="Courier New"/>
      </w:rPr>
    </w:lvl>
    <w:lvl w:ilvl="8">
      <w:start w:val="1"/>
      <w:numFmt w:val="bullet"/>
      <w:lvlText w:val=""/>
      <w:lvlJc w:val="left"/>
      <w:pPr>
        <w:ind w:left="6906" w:hanging="360"/>
      </w:pPr>
      <w:rPr>
        <w:rFonts w:ascii="Wingdings" w:hAnsi="Wingdings" w:cs="Wingdings" w:hint="default"/>
      </w:rPr>
    </w:lvl>
  </w:abstractNum>
  <w:abstractNum w:abstractNumId="9">
    <w:lvl w:ilvl="0">
      <w:start w:val="1"/>
      <w:numFmt w:val="bullet"/>
      <w:lvlText w:val="-"/>
      <w:lvlJc w:val="left"/>
      <w:pPr>
        <w:ind w:left="720" w:hanging="360"/>
      </w:pPr>
      <w:rPr>
        <w:rFonts w:ascii="Times New Roman" w:hAnsi="Times New Roman" w:cs="Times New Roman" w:hint="default"/>
        <w:i w:val="false"/>
        <w:rFonts w:cs="Times New Roman"/>
        <w:color w:val="auto"/>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1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1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40"/>
  <w:defaultTabStop w:val="706"/>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ndale Sans UI" w:cs="Tahoma"/>
        <w:kern w:val="2"/>
        <w:sz w:val="24"/>
        <w:szCs w:val="24"/>
        <w:lang w:val="de-DE" w:eastAsia="ja-JP" w:bidi="fa-IR"/>
      </w:rPr>
    </w:rPrDefault>
    <w:pPrDefault>
      <w:pPr>
        <w:suppressAutoHyphens w:val="false"/>
        <w:textAlignment w:val="baseline"/>
      </w:pPr>
    </w:pPrDefault>
  </w:docDefaults>
  <w:style w:type="paragraph" w:styleId="Normal">
    <w:name w:val="Normal"/>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Andale Sans UI" w:cs="Tahoma"/>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vertAlign w:val="baseline"/>
      <w:em w:val="none"/>
      <w:lang w:val="de-DE" w:eastAsia="ja-JP" w:bidi="fa-IR"/>
    </w:rPr>
  </w:style>
  <w:style w:type="character" w:styleId="Domylnaczcionkaakapitu">
    <w:name w:val="Domyślna czcionka akapitu"/>
    <w:qFormat/>
    <w:rPr/>
  </w:style>
  <w:style w:type="character" w:styleId="Czeinternetowe">
    <w:name w:val="Łącze internetowe"/>
    <w:rPr>
      <w:color w:val="0000FF"/>
      <w:u w:val="single"/>
    </w:rPr>
  </w:style>
  <w:style w:type="character" w:styleId="Odwiedzoneczeinternetowe">
    <w:name w:val="Odwiedzone łącze internetowe"/>
    <w:rPr>
      <w:color w:val="800000"/>
      <w:u w:val="single"/>
    </w:rPr>
  </w:style>
  <w:style w:type="character" w:styleId="Znakinumeracji">
    <w:name w:val="Znaki numeracji"/>
    <w:qFormat/>
    <w:rPr/>
  </w:style>
  <w:style w:type="character" w:styleId="Znakiwypunktowania">
    <w:name w:val="Znaki wypunktowania"/>
    <w:qFormat/>
    <w:rPr>
      <w:rFonts w:ascii="OpenSymbol" w:hAnsi="OpenSymbol" w:eastAsia="OpenSymbol" w:cs="OpenSymbol"/>
    </w:rPr>
  </w:style>
  <w:style w:type="character" w:styleId="StopkaZnak">
    <w:name w:val="Stopka Znak"/>
    <w:basedOn w:val="Domylnaczcionkaakapitu"/>
    <w:qFormat/>
    <w:rPr/>
  </w:style>
  <w:style w:type="character" w:styleId="TekstdymkaZnak">
    <w:name w:val="Tekst dymka Znak"/>
    <w:basedOn w:val="Domylnaczcionkaakapitu"/>
    <w:qFormat/>
    <w:rPr>
      <w:rFonts w:ascii="Segoe UI" w:hAnsi="Segoe UI" w:cs="Segoe UI"/>
      <w:sz w:val="18"/>
      <w:szCs w:val="18"/>
    </w:rPr>
  </w:style>
  <w:style w:type="character" w:styleId="Hipercze">
    <w:name w:val="Hiperłącze"/>
    <w:qFormat/>
    <w:rPr>
      <w:color w:val="0000FF"/>
      <w:u w:val="single"/>
    </w:rPr>
  </w:style>
  <w:style w:type="character" w:styleId="Mocnowyrniony">
    <w:name w:val="Mocno wyró¿niony"/>
    <w:qFormat/>
    <w:rPr>
      <w:b/>
      <w:bCs/>
    </w:rPr>
  </w:style>
  <w:style w:type="character" w:styleId="Uwydatnienie">
    <w:name w:val="Uwydatnienie"/>
    <w:qFormat/>
    <w:rPr>
      <w:i/>
      <w:iCs/>
    </w:rPr>
  </w:style>
  <w:style w:type="character" w:styleId="TekstpodstawowywcityZnak">
    <w:name w:val="Tekst podstawowy wcięty Znak"/>
    <w:basedOn w:val="Domylnaczcionkaakapitu"/>
    <w:qFormat/>
    <w:rPr>
      <w:rFonts w:ascii="Arial" w:hAnsi="Arial" w:eastAsia="Times New Roman" w:cs="Times New Roman"/>
      <w:kern w:val="2"/>
      <w:sz w:val="20"/>
      <w:szCs w:val="20"/>
      <w:lang w:val="pl-PL" w:eastAsia="ar-SA" w:bidi="ar-SA"/>
    </w:rPr>
  </w:style>
  <w:style w:type="character" w:styleId="Odwoaniedokomentarza">
    <w:name w:val="Odwołanie do komentarza"/>
    <w:basedOn w:val="Domylnaczcionkaakapitu"/>
    <w:qFormat/>
    <w:rPr>
      <w:sz w:val="16"/>
      <w:szCs w:val="16"/>
    </w:rPr>
  </w:style>
  <w:style w:type="character" w:styleId="TekstkomentarzaZnak">
    <w:name w:val="Tekst komentarza Znak"/>
    <w:basedOn w:val="Domylnaczcionkaakapitu"/>
    <w:qFormat/>
    <w:rPr>
      <w:sz w:val="20"/>
      <w:szCs w:val="20"/>
    </w:rPr>
  </w:style>
  <w:style w:type="character" w:styleId="TematkomentarzaZnak">
    <w:name w:val="Temat komentarza Znak"/>
    <w:basedOn w:val="TekstkomentarzaZnak"/>
    <w:qFormat/>
    <w:rPr>
      <w:b/>
      <w:bCs/>
      <w:sz w:val="20"/>
      <w:szCs w:val="20"/>
    </w:rPr>
  </w:style>
  <w:style w:type="character" w:styleId="Nierozpoznanawzmianka">
    <w:name w:val="Nierozpoznana wzmianka"/>
    <w:basedOn w:val="Domylnaczcionkaakapitu"/>
    <w:qFormat/>
    <w:rPr>
      <w:color w:val="605E5C"/>
      <w:highlight w:val="lightGray"/>
    </w:rPr>
  </w:style>
  <w:style w:type="character" w:styleId="WW8Num6z0">
    <w:name w:val="WW8Num6z0"/>
    <w:qFormat/>
    <w:rPr>
      <w:rFonts w:ascii="Wingdings" w:hAnsi="Wingdings" w:cs="Wingdings"/>
      <w:sz w:val="24"/>
      <w:szCs w:val="24"/>
      <w:highlight w:val="white"/>
      <w:lang w:val="pl-P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rFonts w:ascii="Wingdings" w:hAnsi="Wingdings" w:eastAsia="Times New Roman" w:cs="Wingdings"/>
      <w:b/>
      <w:bCs/>
      <w:strike w:val="false"/>
      <w:dstrike w:val="false"/>
      <w:color w:val="auto"/>
      <w:kern w:val="2"/>
      <w:position w:val="0"/>
      <w:sz w:val="24"/>
      <w:sz w:val="24"/>
      <w:szCs w:val="24"/>
      <w:highlight w:val="white"/>
      <w:vertAlign w:val="baseline"/>
      <w:lang w:val="pl-PL" w:bidi="ar-SA"/>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8z0">
    <w:name w:val="WW8Num8z0"/>
    <w:qFormat/>
    <w:rPr>
      <w:rFonts w:ascii="Times New Roman" w:hAnsi="Times New Roman" w:eastAsia="Times New Roman" w:cs="Times New Roman"/>
      <w:bCs/>
      <w:strike w:val="false"/>
      <w:dstrike w:val="false"/>
      <w:color w:val="auto"/>
      <w:kern w:val="2"/>
      <w:sz w:val="24"/>
      <w:szCs w:val="24"/>
      <w:lang w:val="pl-PL" w:bidi="ar-SA"/>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9z0">
    <w:name w:val="WW8Num9z0"/>
    <w:qFormat/>
    <w:rPr>
      <w:rFonts w:ascii="Times New Roman" w:hAnsi="Times New Roman" w:eastAsia="Times New Roman" w:cs="Times New Roman"/>
      <w:color w:val="auto"/>
      <w:kern w:val="2"/>
      <w:sz w:val="24"/>
      <w:szCs w:val="24"/>
      <w:lang w:val="pl-PL" w:bidi="ar-SA"/>
    </w:rPr>
  </w:style>
  <w:style w:type="character" w:styleId="WW8Num66z0">
    <w:name w:val="WW8Num66z0"/>
    <w:qFormat/>
    <w:rPr>
      <w:rFonts w:ascii="Times New Roman" w:hAnsi="Times New Roman" w:cs="Times New Roman"/>
      <w:b/>
      <w:color w:val="000000"/>
      <w:sz w:val="24"/>
      <w:szCs w:val="24"/>
    </w:rPr>
  </w:style>
  <w:style w:type="character" w:styleId="WW8Num66z1">
    <w:name w:val="WW8Num66z1"/>
    <w:qFormat/>
    <w:rPr/>
  </w:style>
  <w:style w:type="character" w:styleId="WW8Num66z2">
    <w:name w:val="WW8Num66z2"/>
    <w:qFormat/>
    <w:rPr/>
  </w:style>
  <w:style w:type="character" w:styleId="WW8Num66z3">
    <w:name w:val="WW8Num66z3"/>
    <w:qFormat/>
    <w:rPr/>
  </w:style>
  <w:style w:type="character" w:styleId="WW8Num66z4">
    <w:name w:val="WW8Num66z4"/>
    <w:qFormat/>
    <w:rPr/>
  </w:style>
  <w:style w:type="character" w:styleId="WW8Num66z5">
    <w:name w:val="WW8Num66z5"/>
    <w:qFormat/>
    <w:rPr/>
  </w:style>
  <w:style w:type="character" w:styleId="WW8Num66z6">
    <w:name w:val="WW8Num66z6"/>
    <w:qFormat/>
    <w:rPr/>
  </w:style>
  <w:style w:type="character" w:styleId="WW8Num66z7">
    <w:name w:val="WW8Num66z7"/>
    <w:qFormat/>
    <w:rPr/>
  </w:style>
  <w:style w:type="character" w:styleId="WW8Num66z8">
    <w:name w:val="WW8Num66z8"/>
    <w:qFormat/>
    <w:rPr/>
  </w:style>
  <w:style w:type="character" w:styleId="Teksttreci5">
    <w:name w:val="Tekst treści (5)_"/>
    <w:basedOn w:val="Domylnaczcionkaakapitu"/>
    <w:qFormat/>
    <w:rPr>
      <w:rFonts w:ascii="Times New Roman" w:hAnsi="Times New Roman" w:eastAsia="Times New Roman" w:cs="Times New Roman"/>
      <w:i/>
      <w:iCs/>
      <w:highlight w:val="white"/>
    </w:rPr>
  </w:style>
  <w:style w:type="character" w:styleId="Teksttreci5Bezkursywy">
    <w:name w:val="Tekst treści (5) + Bez kursywy"/>
    <w:basedOn w:val="Teksttreci5"/>
    <w:qFormat/>
    <w:rPr>
      <w:rFonts w:ascii="Times New Roman" w:hAnsi="Times New Roman" w:eastAsia="Times New Roman" w:cs="Times New Roman"/>
      <w:i/>
      <w:iCs/>
      <w:color w:val="000000"/>
      <w:spacing w:val="0"/>
      <w:w w:val="100"/>
      <w:position w:val="0"/>
      <w:sz w:val="24"/>
      <w:sz w:val="24"/>
      <w:szCs w:val="24"/>
      <w:highlight w:val="white"/>
      <w:vertAlign w:val="baseline"/>
      <w:lang w:val="pl-PL" w:bidi="pl-PL"/>
    </w:rPr>
  </w:style>
  <w:style w:type="character" w:styleId="WW8Num62z0">
    <w:name w:val="WW8Num62z0"/>
    <w:qFormat/>
    <w:rPr>
      <w:rFonts w:ascii="Times New Roman" w:hAnsi="Times New Roman" w:cs="Times New Roman"/>
      <w:b/>
      <w:sz w:val="24"/>
    </w:rPr>
  </w:style>
  <w:style w:type="character" w:styleId="WW8Num62z1">
    <w:name w:val="WW8Num62z1"/>
    <w:qFormat/>
    <w:rPr/>
  </w:style>
  <w:style w:type="character" w:styleId="WW8Num62z2">
    <w:name w:val="WW8Num62z2"/>
    <w:qFormat/>
    <w:rPr/>
  </w:style>
  <w:style w:type="character" w:styleId="WW8Num62z3">
    <w:name w:val="WW8Num62z3"/>
    <w:qFormat/>
    <w:rPr/>
  </w:style>
  <w:style w:type="character" w:styleId="WW8Num62z4">
    <w:name w:val="WW8Num62z4"/>
    <w:qFormat/>
    <w:rPr/>
  </w:style>
  <w:style w:type="character" w:styleId="WW8Num62z5">
    <w:name w:val="WW8Num62z5"/>
    <w:qFormat/>
    <w:rPr/>
  </w:style>
  <w:style w:type="character" w:styleId="WW8Num62z6">
    <w:name w:val="WW8Num62z6"/>
    <w:qFormat/>
    <w:rPr/>
  </w:style>
  <w:style w:type="character" w:styleId="WW8Num62z7">
    <w:name w:val="WW8Num62z7"/>
    <w:qFormat/>
    <w:rPr/>
  </w:style>
  <w:style w:type="character" w:styleId="WW8Num62z8">
    <w:name w:val="WW8Num62z8"/>
    <w:qFormat/>
    <w:rPr/>
  </w:style>
  <w:style w:type="character" w:styleId="WW8Num68z0">
    <w:name w:val="WW8Num68z0"/>
    <w:qFormat/>
    <w:rPr>
      <w:rFonts w:ascii="Times New Roman" w:hAnsi="Times New Roman" w:cs="Times New Roman"/>
      <w:b/>
      <w:bCs/>
      <w:i/>
      <w:iCs/>
      <w:sz w:val="28"/>
      <w:szCs w:val="24"/>
      <w:lang w:eastAsia="en-US"/>
    </w:rPr>
  </w:style>
  <w:style w:type="character" w:styleId="WW8Num68z1">
    <w:name w:val="WW8Num68z1"/>
    <w:qFormat/>
    <w:rPr>
      <w:b w:val="false"/>
      <w:i w:val="false"/>
      <w:sz w:val="28"/>
    </w:rPr>
  </w:style>
  <w:style w:type="character" w:styleId="WW8Num68z2">
    <w:name w:val="WW8Num68z2"/>
    <w:qFormat/>
    <w:rPr/>
  </w:style>
  <w:style w:type="character" w:styleId="WW8Num68z3">
    <w:name w:val="WW8Num68z3"/>
    <w:qFormat/>
    <w:rPr/>
  </w:style>
  <w:style w:type="character" w:styleId="WW8Num68z4">
    <w:name w:val="WW8Num68z4"/>
    <w:qFormat/>
    <w:rPr/>
  </w:style>
  <w:style w:type="character" w:styleId="WW8Num68z5">
    <w:name w:val="WW8Num68z5"/>
    <w:qFormat/>
    <w:rPr/>
  </w:style>
  <w:style w:type="character" w:styleId="WW8Num68z6">
    <w:name w:val="WW8Num68z6"/>
    <w:qFormat/>
    <w:rPr/>
  </w:style>
  <w:style w:type="character" w:styleId="WW8Num68z7">
    <w:name w:val="WW8Num68z7"/>
    <w:qFormat/>
    <w:rPr/>
  </w:style>
  <w:style w:type="character" w:styleId="WW8Num68z8">
    <w:name w:val="WW8Num68z8"/>
    <w:qFormat/>
    <w:rPr/>
  </w:style>
  <w:style w:type="character" w:styleId="Teksttreci2">
    <w:name w:val="Tekst treści (2)_"/>
    <w:basedOn w:val="Domylnaczcionkaakapitu"/>
    <w:qFormat/>
    <w:rPr>
      <w:rFonts w:ascii="Times New Roman" w:hAnsi="Times New Roman" w:eastAsia="Times New Roman" w:cs="Times New Roman"/>
      <w:highlight w:val="white"/>
    </w:rPr>
  </w:style>
  <w:style w:type="character" w:styleId="Teksttreci2Kursywa">
    <w:name w:val="Tekst treści (2) + Kursywa"/>
    <w:basedOn w:val="Teksttreci2"/>
    <w:qFormat/>
    <w:rPr>
      <w:rFonts w:ascii="Times New Roman" w:hAnsi="Times New Roman" w:eastAsia="Times New Roman" w:cs="Times New Roman"/>
      <w:b w:val="false"/>
      <w:bCs w:val="false"/>
      <w:i/>
      <w:iCs/>
      <w:caps w:val="false"/>
      <w:smallCaps w:val="false"/>
      <w:strike w:val="false"/>
      <w:dstrike w:val="false"/>
      <w:color w:val="000000"/>
      <w:spacing w:val="0"/>
      <w:w w:val="100"/>
      <w:position w:val="0"/>
      <w:sz w:val="24"/>
      <w:sz w:val="24"/>
      <w:szCs w:val="24"/>
      <w:highlight w:val="white"/>
      <w:u w:val="single"/>
      <w:vertAlign w:val="baseline"/>
      <w:lang w:val="pl-PL" w:bidi="pl-PL"/>
    </w:rPr>
  </w:style>
  <w:style w:type="character" w:styleId="AkapitzlistZnak">
    <w:name w:val="Akapit z listą Znak"/>
    <w:qFormat/>
    <w:rPr/>
  </w:style>
  <w:style w:type="character" w:styleId="WWCharLFO1LVL1">
    <w:name w:val="WW_CharLFO1LVL1"/>
    <w:qFormat/>
    <w:rPr>
      <w:rFonts w:ascii="Symbol" w:hAnsi="Symbol"/>
    </w:rPr>
  </w:style>
  <w:style w:type="character" w:styleId="WWCharLFO1LVL2">
    <w:name w:val="WW_CharLFO1LVL2"/>
    <w:qFormat/>
    <w:rPr>
      <w:rFonts w:ascii="Symbol" w:hAnsi="Symbol"/>
    </w:rPr>
  </w:style>
  <w:style w:type="character" w:styleId="WWCharLFO1LVL3">
    <w:name w:val="WW_CharLFO1LVL3"/>
    <w:qFormat/>
    <w:rPr>
      <w:rFonts w:ascii="Symbol" w:hAnsi="Symbol"/>
    </w:rPr>
  </w:style>
  <w:style w:type="character" w:styleId="WWCharLFO1LVL4">
    <w:name w:val="WW_CharLFO1LVL4"/>
    <w:qFormat/>
    <w:rPr>
      <w:rFonts w:ascii="Symbol" w:hAnsi="Symbol"/>
    </w:rPr>
  </w:style>
  <w:style w:type="character" w:styleId="WWCharLFO1LVL5">
    <w:name w:val="WW_CharLFO1LVL5"/>
    <w:qFormat/>
    <w:rPr>
      <w:rFonts w:ascii="Symbol" w:hAnsi="Symbol"/>
    </w:rPr>
  </w:style>
  <w:style w:type="character" w:styleId="WWCharLFO1LVL6">
    <w:name w:val="WW_CharLFO1LVL6"/>
    <w:qFormat/>
    <w:rPr>
      <w:rFonts w:ascii="Symbol" w:hAnsi="Symbol"/>
    </w:rPr>
  </w:style>
  <w:style w:type="character" w:styleId="WWCharLFO1LVL7">
    <w:name w:val="WW_CharLFO1LVL7"/>
    <w:qFormat/>
    <w:rPr>
      <w:rFonts w:ascii="Symbol" w:hAnsi="Symbol"/>
    </w:rPr>
  </w:style>
  <w:style w:type="character" w:styleId="WWCharLFO1LVL8">
    <w:name w:val="WW_CharLFO1LVL8"/>
    <w:qFormat/>
    <w:rPr>
      <w:rFonts w:ascii="Symbol" w:hAnsi="Symbol"/>
    </w:rPr>
  </w:style>
  <w:style w:type="character" w:styleId="WWCharLFO1LVL9">
    <w:name w:val="WW_CharLFO1LVL9"/>
    <w:qFormat/>
    <w:rPr>
      <w:rFonts w:ascii="Symbol" w:hAnsi="Symbol"/>
    </w:rPr>
  </w:style>
  <w:style w:type="character" w:styleId="WWCharLFO2LVL1">
    <w:name w:val="WW_CharLFO2LVL1"/>
    <w:qFormat/>
    <w:rPr>
      <w:rFonts w:ascii="Symbol" w:hAnsi="Symbol"/>
    </w:rPr>
  </w:style>
  <w:style w:type="character" w:styleId="WWCharLFO2LVL2">
    <w:name w:val="WW_CharLFO2LVL2"/>
    <w:qFormat/>
    <w:rPr>
      <w:rFonts w:ascii="Symbol" w:hAnsi="Symbol"/>
    </w:rPr>
  </w:style>
  <w:style w:type="character" w:styleId="WWCharLFO2LVL3">
    <w:name w:val="WW_CharLFO2LVL3"/>
    <w:qFormat/>
    <w:rPr>
      <w:rFonts w:ascii="Symbol" w:hAnsi="Symbol"/>
    </w:rPr>
  </w:style>
  <w:style w:type="character" w:styleId="WWCharLFO2LVL4">
    <w:name w:val="WW_CharLFO2LVL4"/>
    <w:qFormat/>
    <w:rPr>
      <w:rFonts w:ascii="Symbol" w:hAnsi="Symbol"/>
    </w:rPr>
  </w:style>
  <w:style w:type="character" w:styleId="WWCharLFO2LVL5">
    <w:name w:val="WW_CharLFO2LVL5"/>
    <w:qFormat/>
    <w:rPr>
      <w:rFonts w:ascii="Symbol" w:hAnsi="Symbol"/>
    </w:rPr>
  </w:style>
  <w:style w:type="character" w:styleId="WWCharLFO2LVL6">
    <w:name w:val="WW_CharLFO2LVL6"/>
    <w:qFormat/>
    <w:rPr>
      <w:rFonts w:ascii="Symbol" w:hAnsi="Symbol"/>
    </w:rPr>
  </w:style>
  <w:style w:type="character" w:styleId="WWCharLFO2LVL7">
    <w:name w:val="WW_CharLFO2LVL7"/>
    <w:qFormat/>
    <w:rPr>
      <w:rFonts w:ascii="Symbol" w:hAnsi="Symbol"/>
    </w:rPr>
  </w:style>
  <w:style w:type="character" w:styleId="WWCharLFO2LVL8">
    <w:name w:val="WW_CharLFO2LVL8"/>
    <w:qFormat/>
    <w:rPr>
      <w:rFonts w:ascii="Symbol" w:hAnsi="Symbol"/>
    </w:rPr>
  </w:style>
  <w:style w:type="character" w:styleId="WWCharLFO2LVL9">
    <w:name w:val="WW_CharLFO2LVL9"/>
    <w:qFormat/>
    <w:rPr>
      <w:rFonts w:ascii="Symbol" w:hAnsi="Symbol"/>
    </w:rPr>
  </w:style>
  <w:style w:type="character" w:styleId="WWCharLFO3LVL1">
    <w:name w:val="WW_CharLFO3LVL1"/>
    <w:qFormat/>
    <w:rPr>
      <w:rFonts w:ascii="Symbol" w:hAnsi="Symbol"/>
    </w:rPr>
  </w:style>
  <w:style w:type="character" w:styleId="WWCharLFO3LVL2">
    <w:name w:val="WW_CharLFO3LVL2"/>
    <w:qFormat/>
    <w:rPr>
      <w:rFonts w:ascii="Symbol" w:hAnsi="Symbol"/>
    </w:rPr>
  </w:style>
  <w:style w:type="character" w:styleId="WWCharLFO3LVL3">
    <w:name w:val="WW_CharLFO3LVL3"/>
    <w:qFormat/>
    <w:rPr>
      <w:rFonts w:ascii="Symbol" w:hAnsi="Symbol"/>
    </w:rPr>
  </w:style>
  <w:style w:type="character" w:styleId="WWCharLFO3LVL4">
    <w:name w:val="WW_CharLFO3LVL4"/>
    <w:qFormat/>
    <w:rPr>
      <w:rFonts w:ascii="Symbol" w:hAnsi="Symbol"/>
    </w:rPr>
  </w:style>
  <w:style w:type="character" w:styleId="WWCharLFO3LVL5">
    <w:name w:val="WW_CharLFO3LVL5"/>
    <w:qFormat/>
    <w:rPr>
      <w:rFonts w:ascii="Symbol" w:hAnsi="Symbol"/>
    </w:rPr>
  </w:style>
  <w:style w:type="character" w:styleId="WWCharLFO3LVL6">
    <w:name w:val="WW_CharLFO3LVL6"/>
    <w:qFormat/>
    <w:rPr>
      <w:rFonts w:ascii="Symbol" w:hAnsi="Symbol"/>
    </w:rPr>
  </w:style>
  <w:style w:type="character" w:styleId="WWCharLFO3LVL7">
    <w:name w:val="WW_CharLFO3LVL7"/>
    <w:qFormat/>
    <w:rPr>
      <w:rFonts w:ascii="Symbol" w:hAnsi="Symbol"/>
    </w:rPr>
  </w:style>
  <w:style w:type="character" w:styleId="WWCharLFO3LVL8">
    <w:name w:val="WW_CharLFO3LVL8"/>
    <w:qFormat/>
    <w:rPr>
      <w:rFonts w:ascii="Symbol" w:hAnsi="Symbol"/>
    </w:rPr>
  </w:style>
  <w:style w:type="character" w:styleId="WWCharLFO3LVL9">
    <w:name w:val="WW_CharLFO3LVL9"/>
    <w:qFormat/>
    <w:rPr>
      <w:rFonts w:ascii="Symbol" w:hAnsi="Symbol"/>
    </w:rPr>
  </w:style>
  <w:style w:type="character" w:styleId="WWCharLFO4LVL1">
    <w:name w:val="WW_CharLFO4LVL1"/>
    <w:qFormat/>
    <w:rPr>
      <w:rFonts w:ascii="Symbol" w:hAnsi="Symbol"/>
    </w:rPr>
  </w:style>
  <w:style w:type="character" w:styleId="WWCharLFO4LVL2">
    <w:name w:val="WW_CharLFO4LVL2"/>
    <w:qFormat/>
    <w:rPr>
      <w:rFonts w:ascii="Symbol" w:hAnsi="Symbol"/>
    </w:rPr>
  </w:style>
  <w:style w:type="character" w:styleId="WWCharLFO4LVL3">
    <w:name w:val="WW_CharLFO4LVL3"/>
    <w:qFormat/>
    <w:rPr>
      <w:rFonts w:ascii="Symbol" w:hAnsi="Symbol"/>
    </w:rPr>
  </w:style>
  <w:style w:type="character" w:styleId="WWCharLFO4LVL4">
    <w:name w:val="WW_CharLFO4LVL4"/>
    <w:qFormat/>
    <w:rPr>
      <w:rFonts w:ascii="Symbol" w:hAnsi="Symbol"/>
    </w:rPr>
  </w:style>
  <w:style w:type="character" w:styleId="WWCharLFO4LVL5">
    <w:name w:val="WW_CharLFO4LVL5"/>
    <w:qFormat/>
    <w:rPr>
      <w:rFonts w:ascii="Symbol" w:hAnsi="Symbol"/>
    </w:rPr>
  </w:style>
  <w:style w:type="character" w:styleId="WWCharLFO4LVL6">
    <w:name w:val="WW_CharLFO4LVL6"/>
    <w:qFormat/>
    <w:rPr>
      <w:rFonts w:ascii="Symbol" w:hAnsi="Symbol"/>
    </w:rPr>
  </w:style>
  <w:style w:type="character" w:styleId="WWCharLFO4LVL7">
    <w:name w:val="WW_CharLFO4LVL7"/>
    <w:qFormat/>
    <w:rPr>
      <w:rFonts w:ascii="Symbol" w:hAnsi="Symbol"/>
    </w:rPr>
  </w:style>
  <w:style w:type="character" w:styleId="WWCharLFO4LVL8">
    <w:name w:val="WW_CharLFO4LVL8"/>
    <w:qFormat/>
    <w:rPr>
      <w:rFonts w:ascii="Symbol" w:hAnsi="Symbol"/>
    </w:rPr>
  </w:style>
  <w:style w:type="character" w:styleId="WWCharLFO4LVL9">
    <w:name w:val="WW_CharLFO4LVL9"/>
    <w:qFormat/>
    <w:rPr>
      <w:rFonts w:ascii="Symbol" w:hAnsi="Symbol"/>
    </w:rPr>
  </w:style>
  <w:style w:type="character" w:styleId="WWCharLFO5LVL1">
    <w:name w:val="WW_CharLFO5LVL1"/>
    <w:qFormat/>
    <w:rPr>
      <w:rFonts w:ascii="Wingdings" w:hAnsi="Wingdings" w:cs="Wingdings"/>
      <w:sz w:val="24"/>
      <w:szCs w:val="24"/>
      <w:highlight w:val="white"/>
      <w:lang w:val="pl-PL"/>
    </w:rPr>
  </w:style>
  <w:style w:type="character" w:styleId="WWCharLFO5LVL2">
    <w:name w:val="WW_CharLFO5LVL2"/>
    <w:qFormat/>
    <w:rPr>
      <w:rFonts w:ascii="Courier New" w:hAnsi="Courier New" w:cs="Courier New"/>
    </w:rPr>
  </w:style>
  <w:style w:type="character" w:styleId="WWCharLFO5LVL3">
    <w:name w:val="WW_CharLFO5LVL3"/>
    <w:qFormat/>
    <w:rPr>
      <w:rFonts w:ascii="Wingdings" w:hAnsi="Wingdings" w:cs="Wingdings"/>
    </w:rPr>
  </w:style>
  <w:style w:type="character" w:styleId="WWCharLFO5LVL4">
    <w:name w:val="WW_CharLFO5LVL4"/>
    <w:qFormat/>
    <w:rPr>
      <w:rFonts w:ascii="Symbol" w:hAnsi="Symbol" w:cs="Symbol"/>
    </w:rPr>
  </w:style>
  <w:style w:type="character" w:styleId="WWCharLFO5LVL5">
    <w:name w:val="WW_CharLFO5LVL5"/>
    <w:qFormat/>
    <w:rPr>
      <w:rFonts w:ascii="Courier New" w:hAnsi="Courier New" w:cs="Courier New"/>
    </w:rPr>
  </w:style>
  <w:style w:type="character" w:styleId="WWCharLFO5LVL6">
    <w:name w:val="WW_CharLFO5LVL6"/>
    <w:qFormat/>
    <w:rPr>
      <w:rFonts w:ascii="Wingdings" w:hAnsi="Wingdings" w:cs="Wingdings"/>
    </w:rPr>
  </w:style>
  <w:style w:type="character" w:styleId="WWCharLFO5LVL7">
    <w:name w:val="WW_CharLFO5LVL7"/>
    <w:qFormat/>
    <w:rPr>
      <w:rFonts w:ascii="Symbol" w:hAnsi="Symbol" w:cs="Symbol"/>
    </w:rPr>
  </w:style>
  <w:style w:type="character" w:styleId="WWCharLFO5LVL8">
    <w:name w:val="WW_CharLFO5LVL8"/>
    <w:qFormat/>
    <w:rPr>
      <w:rFonts w:ascii="Courier New" w:hAnsi="Courier New" w:cs="Courier New"/>
    </w:rPr>
  </w:style>
  <w:style w:type="character" w:styleId="WWCharLFO5LVL9">
    <w:name w:val="WW_CharLFO5LVL9"/>
    <w:qFormat/>
    <w:rPr>
      <w:rFonts w:ascii="Wingdings" w:hAnsi="Wingdings" w:cs="Wingdings"/>
    </w:rPr>
  </w:style>
  <w:style w:type="character" w:styleId="WWCharLFO6LVL1">
    <w:name w:val="WW_CharLFO6LVL1"/>
    <w:qFormat/>
    <w:rPr>
      <w:rFonts w:ascii="Times New Roman" w:hAnsi="Times New Roman" w:eastAsia="Times New Roman" w:cs="Wingdings"/>
      <w:b/>
      <w:bCs/>
      <w:strike w:val="false"/>
      <w:dstrike w:val="false"/>
      <w:color w:val="auto"/>
      <w:kern w:val="2"/>
      <w:position w:val="0"/>
      <w:sz w:val="24"/>
      <w:sz w:val="24"/>
      <w:szCs w:val="24"/>
      <w:highlight w:val="white"/>
      <w:vertAlign w:val="baseline"/>
      <w:lang w:val="pl-PL" w:bidi="ar-SA"/>
    </w:rPr>
  </w:style>
  <w:style w:type="character" w:styleId="WWCharLFO6LVL3">
    <w:name w:val="WW_CharLFO6LVL3"/>
    <w:qFormat/>
    <w:rPr>
      <w:rFonts w:ascii="Wingdings" w:hAnsi="Wingdings"/>
    </w:rPr>
  </w:style>
  <w:style w:type="character" w:styleId="WWCharLFO6LVL4">
    <w:name w:val="WW_CharLFO6LVL4"/>
    <w:qFormat/>
    <w:rPr>
      <w:rFonts w:ascii="Symbol" w:hAnsi="Symbol"/>
    </w:rPr>
  </w:style>
  <w:style w:type="character" w:styleId="WWCharLFO6LVL6">
    <w:name w:val="WW_CharLFO6LVL6"/>
    <w:qFormat/>
    <w:rPr>
      <w:rFonts w:ascii="Wingdings" w:hAnsi="Wingdings"/>
    </w:rPr>
  </w:style>
  <w:style w:type="character" w:styleId="WWCharLFO6LVL7">
    <w:name w:val="WW_CharLFO6LVL7"/>
    <w:qFormat/>
    <w:rPr>
      <w:rFonts w:ascii="Symbol" w:hAnsi="Symbol"/>
    </w:rPr>
  </w:style>
  <w:style w:type="character" w:styleId="WWCharLFO6LVL9">
    <w:name w:val="WW_CharLFO6LVL9"/>
    <w:qFormat/>
    <w:rPr>
      <w:rFonts w:ascii="Wingdings" w:hAnsi="Wingdings"/>
    </w:rPr>
  </w:style>
  <w:style w:type="character" w:styleId="WWCharLFO7LVL1">
    <w:name w:val="WW_CharLFO7LVL1"/>
    <w:qFormat/>
    <w:rPr>
      <w:rFonts w:ascii="Times New Roman" w:hAnsi="Times New Roman" w:eastAsia="Times New Roman" w:cs="Times New Roman"/>
      <w:bCs/>
      <w:strike w:val="false"/>
      <w:dstrike w:val="false"/>
      <w:color w:val="auto"/>
      <w:kern w:val="2"/>
      <w:sz w:val="24"/>
      <w:szCs w:val="24"/>
      <w:lang w:val="pl-PL" w:bidi="ar-SA"/>
    </w:rPr>
  </w:style>
  <w:style w:type="character" w:styleId="WWCharLFO7LVL3">
    <w:name w:val="WW_CharLFO7LVL3"/>
    <w:qFormat/>
    <w:rPr>
      <w:rFonts w:ascii="Wingdings" w:hAnsi="Wingdings"/>
    </w:rPr>
  </w:style>
  <w:style w:type="character" w:styleId="WWCharLFO7LVL4">
    <w:name w:val="WW_CharLFO7LVL4"/>
    <w:qFormat/>
    <w:rPr>
      <w:rFonts w:ascii="Symbol" w:hAnsi="Symbol"/>
    </w:rPr>
  </w:style>
  <w:style w:type="character" w:styleId="WWCharLFO7LVL6">
    <w:name w:val="WW_CharLFO7LVL6"/>
    <w:qFormat/>
    <w:rPr>
      <w:rFonts w:ascii="Wingdings" w:hAnsi="Wingdings"/>
    </w:rPr>
  </w:style>
  <w:style w:type="character" w:styleId="WWCharLFO7LVL7">
    <w:name w:val="WW_CharLFO7LVL7"/>
    <w:qFormat/>
    <w:rPr>
      <w:rFonts w:ascii="Symbol" w:hAnsi="Symbol"/>
    </w:rPr>
  </w:style>
  <w:style w:type="character" w:styleId="WWCharLFO7LVL9">
    <w:name w:val="WW_CharLFO7LVL9"/>
    <w:qFormat/>
    <w:rPr>
      <w:rFonts w:ascii="Wingdings" w:hAnsi="Wingdings"/>
    </w:rPr>
  </w:style>
  <w:style w:type="character" w:styleId="WWCharLFO8LVL1">
    <w:name w:val="WW_CharLFO8LVL1"/>
    <w:qFormat/>
    <w:rPr>
      <w:rFonts w:ascii="Symbol" w:hAnsi="Symbol" w:eastAsia="Times New Roman" w:cs="Times New Roman"/>
      <w:color w:val="auto"/>
      <w:kern w:val="2"/>
      <w:sz w:val="24"/>
      <w:szCs w:val="24"/>
      <w:lang w:val="pl-PL" w:bidi="ar-SA"/>
    </w:rPr>
  </w:style>
  <w:style w:type="character" w:styleId="WWCharLFO8LVL2">
    <w:name w:val="WW_CharLFO8LVL2"/>
    <w:qFormat/>
    <w:rPr>
      <w:rFonts w:ascii="Symbol" w:hAnsi="Symbol" w:eastAsia="Times New Roman" w:cs="Times New Roman"/>
      <w:color w:val="auto"/>
      <w:kern w:val="2"/>
      <w:sz w:val="24"/>
      <w:szCs w:val="24"/>
      <w:lang w:val="pl-PL" w:bidi="ar-SA"/>
    </w:rPr>
  </w:style>
  <w:style w:type="character" w:styleId="WWCharLFO8LVL3">
    <w:name w:val="WW_CharLFO8LVL3"/>
    <w:qFormat/>
    <w:rPr>
      <w:rFonts w:ascii="Symbol" w:hAnsi="Symbol" w:eastAsia="Times New Roman" w:cs="Times New Roman"/>
      <w:color w:val="auto"/>
      <w:kern w:val="2"/>
      <w:sz w:val="24"/>
      <w:szCs w:val="24"/>
      <w:lang w:val="pl-PL" w:bidi="ar-SA"/>
    </w:rPr>
  </w:style>
  <w:style w:type="character" w:styleId="WWCharLFO8LVL4">
    <w:name w:val="WW_CharLFO8LVL4"/>
    <w:qFormat/>
    <w:rPr>
      <w:rFonts w:ascii="Symbol" w:hAnsi="Symbol" w:eastAsia="Times New Roman" w:cs="Times New Roman"/>
      <w:color w:val="auto"/>
      <w:kern w:val="2"/>
      <w:sz w:val="24"/>
      <w:szCs w:val="24"/>
      <w:lang w:val="pl-PL" w:bidi="ar-SA"/>
    </w:rPr>
  </w:style>
  <w:style w:type="character" w:styleId="WWCharLFO8LVL5">
    <w:name w:val="WW_CharLFO8LVL5"/>
    <w:qFormat/>
    <w:rPr>
      <w:rFonts w:ascii="Symbol" w:hAnsi="Symbol" w:eastAsia="Times New Roman" w:cs="Times New Roman"/>
      <w:color w:val="auto"/>
      <w:kern w:val="2"/>
      <w:sz w:val="24"/>
      <w:szCs w:val="24"/>
      <w:lang w:val="pl-PL" w:bidi="ar-SA"/>
    </w:rPr>
  </w:style>
  <w:style w:type="character" w:styleId="WWCharLFO8LVL6">
    <w:name w:val="WW_CharLFO8LVL6"/>
    <w:qFormat/>
    <w:rPr>
      <w:rFonts w:ascii="Symbol" w:hAnsi="Symbol" w:eastAsia="Times New Roman" w:cs="Times New Roman"/>
      <w:color w:val="auto"/>
      <w:kern w:val="2"/>
      <w:sz w:val="24"/>
      <w:szCs w:val="24"/>
      <w:lang w:val="pl-PL" w:bidi="ar-SA"/>
    </w:rPr>
  </w:style>
  <w:style w:type="character" w:styleId="WWCharLFO8LVL7">
    <w:name w:val="WW_CharLFO8LVL7"/>
    <w:qFormat/>
    <w:rPr>
      <w:rFonts w:ascii="Symbol" w:hAnsi="Symbol" w:eastAsia="Times New Roman" w:cs="Times New Roman"/>
      <w:color w:val="auto"/>
      <w:kern w:val="2"/>
      <w:sz w:val="24"/>
      <w:szCs w:val="24"/>
      <w:lang w:val="pl-PL" w:bidi="ar-SA"/>
    </w:rPr>
  </w:style>
  <w:style w:type="character" w:styleId="WWCharLFO8LVL8">
    <w:name w:val="WW_CharLFO8LVL8"/>
    <w:qFormat/>
    <w:rPr>
      <w:rFonts w:ascii="Symbol" w:hAnsi="Symbol" w:eastAsia="Times New Roman" w:cs="Times New Roman"/>
      <w:color w:val="auto"/>
      <w:kern w:val="2"/>
      <w:sz w:val="24"/>
      <w:szCs w:val="24"/>
      <w:lang w:val="pl-PL" w:bidi="ar-SA"/>
    </w:rPr>
  </w:style>
  <w:style w:type="character" w:styleId="WWCharLFO8LVL9">
    <w:name w:val="WW_CharLFO8LVL9"/>
    <w:qFormat/>
    <w:rPr>
      <w:rFonts w:ascii="Symbol" w:hAnsi="Symbol" w:eastAsia="Times New Roman" w:cs="Times New Roman"/>
      <w:color w:val="auto"/>
      <w:kern w:val="2"/>
      <w:sz w:val="24"/>
      <w:szCs w:val="24"/>
      <w:lang w:val="pl-PL" w:bidi="ar-SA"/>
    </w:rPr>
  </w:style>
  <w:style w:type="character" w:styleId="WWCharLFO9LVL1">
    <w:name w:val="WW_CharLFO9LVL1"/>
    <w:qFormat/>
    <w:rPr>
      <w:rFonts w:ascii="Times New Roman" w:hAnsi="Times New Roman" w:cs="Times New Roman"/>
      <w:b/>
      <w:color w:val="000000"/>
      <w:sz w:val="24"/>
      <w:szCs w:val="24"/>
    </w:rPr>
  </w:style>
  <w:style w:type="character" w:styleId="WWCharLFO10LVL1">
    <w:name w:val="WW_CharLFO10LVL1"/>
    <w:qFormat/>
    <w:rPr>
      <w:rFonts w:ascii="Times New Roman" w:hAnsi="Times New Roman" w:cs="Times New Roman"/>
      <w:b/>
      <w:sz w:val="24"/>
    </w:rPr>
  </w:style>
  <w:style w:type="character" w:styleId="WWCharLFO11LVL1">
    <w:name w:val="WW_CharLFO11LVL1"/>
    <w:qFormat/>
    <w:rPr>
      <w:rFonts w:ascii="Times New Roman" w:hAnsi="Times New Roman" w:cs="Times New Roman"/>
      <w:b/>
      <w:bCs/>
      <w:i/>
      <w:iCs/>
      <w:sz w:val="28"/>
      <w:szCs w:val="24"/>
      <w:lang w:eastAsia="en-US"/>
    </w:rPr>
  </w:style>
  <w:style w:type="character" w:styleId="WWCharLFO11LVL2">
    <w:name w:val="WW_CharLFO11LVL2"/>
    <w:qFormat/>
    <w:rPr>
      <w:b w:val="false"/>
      <w:i w:val="false"/>
      <w:sz w:val="28"/>
    </w:rPr>
  </w:style>
  <w:style w:type="character" w:styleId="WWCharLFO18LVL1">
    <w:name w:val="WW_CharLFO18LVL1"/>
    <w:qFormat/>
    <w:rPr>
      <w:rFonts w:ascii="Symbol" w:hAnsi="Symbol" w:cs="Times New Roman"/>
      <w:b w:val="false"/>
      <w:bCs/>
      <w:i w:val="false"/>
      <w:sz w:val="24"/>
      <w:szCs w:val="24"/>
      <w:lang w:val="pl-PL"/>
    </w:rPr>
  </w:style>
  <w:style w:type="character" w:styleId="WWCharLFO18LVL2">
    <w:name w:val="WW_CharLFO18LVL2"/>
    <w:qFormat/>
    <w:rPr>
      <w:rFonts w:ascii="Symbol" w:hAnsi="Symbol" w:cs="Times New Roman"/>
      <w:b w:val="false"/>
      <w:bCs/>
      <w:i w:val="false"/>
      <w:sz w:val="24"/>
      <w:szCs w:val="24"/>
      <w:lang w:val="pl-PL"/>
    </w:rPr>
  </w:style>
  <w:style w:type="character" w:styleId="WWCharLFO18LVL3">
    <w:name w:val="WW_CharLFO18LVL3"/>
    <w:qFormat/>
    <w:rPr>
      <w:rFonts w:ascii="Symbol" w:hAnsi="Symbol" w:cs="Times New Roman"/>
      <w:b w:val="false"/>
      <w:bCs/>
      <w:i w:val="false"/>
      <w:sz w:val="24"/>
      <w:szCs w:val="24"/>
      <w:lang w:val="pl-PL"/>
    </w:rPr>
  </w:style>
  <w:style w:type="character" w:styleId="WWCharLFO18LVL4">
    <w:name w:val="WW_CharLFO18LVL4"/>
    <w:qFormat/>
    <w:rPr>
      <w:rFonts w:ascii="Symbol" w:hAnsi="Symbol" w:cs="Times New Roman"/>
      <w:b w:val="false"/>
      <w:bCs/>
      <w:i w:val="false"/>
      <w:sz w:val="24"/>
      <w:szCs w:val="24"/>
      <w:lang w:val="pl-PL"/>
    </w:rPr>
  </w:style>
  <w:style w:type="character" w:styleId="WWCharLFO18LVL5">
    <w:name w:val="WW_CharLFO18LVL5"/>
    <w:qFormat/>
    <w:rPr>
      <w:rFonts w:ascii="Symbol" w:hAnsi="Symbol" w:cs="Times New Roman"/>
      <w:b w:val="false"/>
      <w:bCs/>
      <w:i w:val="false"/>
      <w:sz w:val="24"/>
      <w:szCs w:val="24"/>
      <w:lang w:val="pl-PL"/>
    </w:rPr>
  </w:style>
  <w:style w:type="character" w:styleId="WWCharLFO18LVL6">
    <w:name w:val="WW_CharLFO18LVL6"/>
    <w:qFormat/>
    <w:rPr>
      <w:rFonts w:ascii="Symbol" w:hAnsi="Symbol" w:cs="Times New Roman"/>
      <w:b w:val="false"/>
      <w:bCs/>
      <w:i w:val="false"/>
      <w:sz w:val="24"/>
      <w:szCs w:val="24"/>
      <w:lang w:val="pl-PL"/>
    </w:rPr>
  </w:style>
  <w:style w:type="character" w:styleId="WWCharLFO18LVL7">
    <w:name w:val="WW_CharLFO18LVL7"/>
    <w:qFormat/>
    <w:rPr>
      <w:rFonts w:ascii="Symbol" w:hAnsi="Symbol" w:cs="Times New Roman"/>
      <w:b w:val="false"/>
      <w:bCs/>
      <w:i w:val="false"/>
      <w:sz w:val="24"/>
      <w:szCs w:val="24"/>
      <w:lang w:val="pl-PL"/>
    </w:rPr>
  </w:style>
  <w:style w:type="character" w:styleId="WWCharLFO18LVL8">
    <w:name w:val="WW_CharLFO18LVL8"/>
    <w:qFormat/>
    <w:rPr>
      <w:rFonts w:ascii="Symbol" w:hAnsi="Symbol" w:cs="Times New Roman"/>
      <w:b w:val="false"/>
      <w:bCs/>
      <w:i w:val="false"/>
      <w:sz w:val="24"/>
      <w:szCs w:val="24"/>
      <w:lang w:val="pl-PL"/>
    </w:rPr>
  </w:style>
  <w:style w:type="character" w:styleId="WWCharLFO18LVL9">
    <w:name w:val="WW_CharLFO18LVL9"/>
    <w:qFormat/>
    <w:rPr>
      <w:rFonts w:ascii="Symbol" w:hAnsi="Symbol" w:cs="Times New Roman"/>
      <w:b w:val="false"/>
      <w:bCs/>
      <w:i w:val="false"/>
      <w:sz w:val="24"/>
      <w:szCs w:val="24"/>
      <w:lang w:val="pl-PL"/>
    </w:rPr>
  </w:style>
  <w:style w:type="character" w:styleId="WWCharLFO19LVL1">
    <w:name w:val="WW_CharLFO19LVL1"/>
    <w:qFormat/>
    <w:rPr>
      <w:rFonts w:ascii="Symbol" w:hAnsi="Symbol"/>
      <w:color w:val="auto"/>
    </w:rPr>
  </w:style>
  <w:style w:type="character" w:styleId="WWCharLFO19LVL2">
    <w:name w:val="WW_CharLFO19LVL2"/>
    <w:qFormat/>
    <w:rPr>
      <w:rFonts w:ascii="Courier New" w:hAnsi="Courier New" w:cs="Courier New"/>
    </w:rPr>
  </w:style>
  <w:style w:type="character" w:styleId="WWCharLFO19LVL3">
    <w:name w:val="WW_CharLFO19LVL3"/>
    <w:qFormat/>
    <w:rPr>
      <w:rFonts w:ascii="Wingdings" w:hAnsi="Wingdings"/>
    </w:rPr>
  </w:style>
  <w:style w:type="character" w:styleId="WWCharLFO19LVL4">
    <w:name w:val="WW_CharLFO19LVL4"/>
    <w:qFormat/>
    <w:rPr>
      <w:rFonts w:ascii="Symbol" w:hAnsi="Symbol"/>
    </w:rPr>
  </w:style>
  <w:style w:type="character" w:styleId="WWCharLFO19LVL5">
    <w:name w:val="WW_CharLFO19LVL5"/>
    <w:qFormat/>
    <w:rPr>
      <w:rFonts w:ascii="Courier New" w:hAnsi="Courier New" w:cs="Courier New"/>
    </w:rPr>
  </w:style>
  <w:style w:type="character" w:styleId="WWCharLFO19LVL6">
    <w:name w:val="WW_CharLFO19LVL6"/>
    <w:qFormat/>
    <w:rPr>
      <w:rFonts w:ascii="Wingdings" w:hAnsi="Wingdings"/>
    </w:rPr>
  </w:style>
  <w:style w:type="character" w:styleId="WWCharLFO19LVL7">
    <w:name w:val="WW_CharLFO19LVL7"/>
    <w:qFormat/>
    <w:rPr>
      <w:rFonts w:ascii="Symbol" w:hAnsi="Symbol"/>
    </w:rPr>
  </w:style>
  <w:style w:type="character" w:styleId="WWCharLFO19LVL8">
    <w:name w:val="WW_CharLFO19LVL8"/>
    <w:qFormat/>
    <w:rPr>
      <w:rFonts w:ascii="Courier New" w:hAnsi="Courier New" w:cs="Courier New"/>
    </w:rPr>
  </w:style>
  <w:style w:type="character" w:styleId="WWCharLFO19LVL9">
    <w:name w:val="WW_CharLFO19LVL9"/>
    <w:qFormat/>
    <w:rPr>
      <w:rFonts w:ascii="Wingdings" w:hAnsi="Wingdings"/>
    </w:rPr>
  </w:style>
  <w:style w:type="character" w:styleId="WWCharLFO20LVL1">
    <w:name w:val="WW_CharLFO20LVL1"/>
    <w:qFormat/>
    <w:rPr>
      <w:rFonts w:ascii="Times New Roman" w:hAnsi="Times New Roman" w:eastAsia="Times New Roman" w:cs="Times New Roman"/>
      <w:i w:val="false"/>
      <w:color w:val="auto"/>
    </w:rPr>
  </w:style>
  <w:style w:type="character" w:styleId="WWCharLFO20LVL2">
    <w:name w:val="WW_CharLFO20LVL2"/>
    <w:qFormat/>
    <w:rPr>
      <w:rFonts w:ascii="Courier New" w:hAnsi="Courier New" w:cs="Courier New"/>
    </w:rPr>
  </w:style>
  <w:style w:type="character" w:styleId="WWCharLFO20LVL3">
    <w:name w:val="WW_CharLFO20LVL3"/>
    <w:qFormat/>
    <w:rPr>
      <w:rFonts w:ascii="Wingdings" w:hAnsi="Wingdings"/>
    </w:rPr>
  </w:style>
  <w:style w:type="character" w:styleId="WWCharLFO20LVL4">
    <w:name w:val="WW_CharLFO20LVL4"/>
    <w:qFormat/>
    <w:rPr>
      <w:rFonts w:ascii="Symbol" w:hAnsi="Symbol"/>
    </w:rPr>
  </w:style>
  <w:style w:type="character" w:styleId="WWCharLFO20LVL5">
    <w:name w:val="WW_CharLFO20LVL5"/>
    <w:qFormat/>
    <w:rPr>
      <w:rFonts w:ascii="Courier New" w:hAnsi="Courier New" w:cs="Courier New"/>
    </w:rPr>
  </w:style>
  <w:style w:type="character" w:styleId="WWCharLFO20LVL6">
    <w:name w:val="WW_CharLFO20LVL6"/>
    <w:qFormat/>
    <w:rPr>
      <w:rFonts w:ascii="Wingdings" w:hAnsi="Wingdings"/>
    </w:rPr>
  </w:style>
  <w:style w:type="character" w:styleId="WWCharLFO20LVL7">
    <w:name w:val="WW_CharLFO20LVL7"/>
    <w:qFormat/>
    <w:rPr>
      <w:rFonts w:ascii="Symbol" w:hAnsi="Symbol"/>
    </w:rPr>
  </w:style>
  <w:style w:type="character" w:styleId="WWCharLFO20LVL8">
    <w:name w:val="WW_CharLFO20LVL8"/>
    <w:qFormat/>
    <w:rPr>
      <w:rFonts w:ascii="Courier New" w:hAnsi="Courier New" w:cs="Courier New"/>
    </w:rPr>
  </w:style>
  <w:style w:type="character" w:styleId="WWCharLFO20LVL9">
    <w:name w:val="WW_CharLFO20LVL9"/>
    <w:qFormat/>
    <w:rPr>
      <w:rFonts w:ascii="Wingdings" w:hAnsi="Wingdings"/>
    </w:rPr>
  </w:style>
  <w:style w:type="character" w:styleId="WWCharLFO21LVL1">
    <w:name w:val="WW_CharLFO21LVL1"/>
    <w:qFormat/>
    <w:rPr>
      <w:rFonts w:ascii="Symbol" w:hAnsi="Symbol"/>
    </w:rPr>
  </w:style>
  <w:style w:type="character" w:styleId="WWCharLFO21LVL2">
    <w:name w:val="WW_CharLFO21LVL2"/>
    <w:qFormat/>
    <w:rPr>
      <w:rFonts w:ascii="Courier New" w:hAnsi="Courier New" w:cs="Courier New"/>
    </w:rPr>
  </w:style>
  <w:style w:type="character" w:styleId="WWCharLFO21LVL3">
    <w:name w:val="WW_CharLFO21LVL3"/>
    <w:qFormat/>
    <w:rPr>
      <w:rFonts w:ascii="Wingdings" w:hAnsi="Wingdings"/>
    </w:rPr>
  </w:style>
  <w:style w:type="character" w:styleId="WWCharLFO21LVL4">
    <w:name w:val="WW_CharLFO21LVL4"/>
    <w:qFormat/>
    <w:rPr>
      <w:rFonts w:ascii="Symbol" w:hAnsi="Symbol"/>
    </w:rPr>
  </w:style>
  <w:style w:type="character" w:styleId="WWCharLFO21LVL5">
    <w:name w:val="WW_CharLFO21LVL5"/>
    <w:qFormat/>
    <w:rPr>
      <w:rFonts w:ascii="Courier New" w:hAnsi="Courier New" w:cs="Courier New"/>
    </w:rPr>
  </w:style>
  <w:style w:type="character" w:styleId="WWCharLFO21LVL6">
    <w:name w:val="WW_CharLFO21LVL6"/>
    <w:qFormat/>
    <w:rPr>
      <w:rFonts w:ascii="Wingdings" w:hAnsi="Wingdings"/>
    </w:rPr>
  </w:style>
  <w:style w:type="character" w:styleId="WWCharLFO21LVL7">
    <w:name w:val="WW_CharLFO21LVL7"/>
    <w:qFormat/>
    <w:rPr>
      <w:rFonts w:ascii="Symbol" w:hAnsi="Symbol"/>
    </w:rPr>
  </w:style>
  <w:style w:type="character" w:styleId="WWCharLFO21LVL8">
    <w:name w:val="WW_CharLFO21LVL8"/>
    <w:qFormat/>
    <w:rPr>
      <w:rFonts w:ascii="Courier New" w:hAnsi="Courier New" w:cs="Courier New"/>
    </w:rPr>
  </w:style>
  <w:style w:type="character" w:styleId="WWCharLFO21LVL9">
    <w:name w:val="WW_CharLFO21LVL9"/>
    <w:qFormat/>
    <w:rPr>
      <w:rFonts w:ascii="Wingdings" w:hAnsi="Wingdings"/>
    </w:rPr>
  </w:style>
  <w:style w:type="character" w:styleId="WWCharLFO22LVL1">
    <w:name w:val="WW_CharLFO22LVL1"/>
    <w:qFormat/>
    <w:rPr>
      <w:rFonts w:ascii="Times New Roman" w:hAnsi="Times New Roman"/>
      <w:sz w:val="24"/>
    </w:rPr>
  </w:style>
  <w:style w:type="paragraph" w:styleId="Normalny">
    <w:name w:val="Normalny"/>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Andale Sans UI" w:cs="Tahoma"/>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vertAlign w:val="baseline"/>
      <w:em w:val="none"/>
      <w:lang w:val="de-DE" w:eastAsia="ja-JP" w:bidi="fa-IR"/>
    </w:rPr>
  </w:style>
  <w:style w:type="paragraph" w:styleId="Nagwek">
    <w:name w:val="Nagłówek"/>
    <w:basedOn w:val="Normal"/>
    <w:qFormat/>
    <w:pPr>
      <w:suppressLineNumbers/>
      <w:tabs>
        <w:tab w:val="clear" w:pos="706"/>
        <w:tab w:val="center" w:pos="4819" w:leader="none"/>
        <w:tab w:val="right" w:pos="9638" w:leader="none"/>
      </w:tabs>
      <w:suppressAutoHyphens w:val="true"/>
    </w:pPr>
    <w:rPr/>
  </w:style>
  <w:style w:type="paragraph" w:styleId="Tretekstu">
    <w:name w:val="Body Text"/>
    <w:basedOn w:val="Normal"/>
    <w:pPr>
      <w:suppressAutoHyphens w:val="true"/>
      <w:spacing w:before="0" w:after="120"/>
    </w:pPr>
    <w:rPr/>
  </w:style>
  <w:style w:type="paragraph" w:styleId="Lista">
    <w:name w:val="List"/>
    <w:basedOn w:val="Tretekstu"/>
    <w:pPr>
      <w:suppressAutoHyphens w:val="true"/>
    </w:pPr>
    <w:rPr/>
  </w:style>
  <w:style w:type="paragraph" w:styleId="Legenda">
    <w:name w:val="Legenda"/>
    <w:basedOn w:val="Normal"/>
    <w:qFormat/>
    <w:pPr>
      <w:suppressLineNumbers/>
      <w:suppressAutoHyphens w:val="true"/>
      <w:spacing w:before="120" w:after="120"/>
    </w:pPr>
    <w:rPr>
      <w:i/>
      <w:iCs/>
      <w:sz w:val="20"/>
      <w:szCs w:val="20"/>
    </w:rPr>
  </w:style>
  <w:style w:type="paragraph" w:styleId="Indeks">
    <w:name w:val="Indeks"/>
    <w:basedOn w:val="Normal"/>
    <w:qFormat/>
    <w:pPr>
      <w:suppressLineNumbers/>
      <w:suppressAutoHyphens w:val="true"/>
    </w:pPr>
    <w:rPr/>
  </w:style>
  <w:style w:type="paragraph" w:styleId="Akapitzlist">
    <w:name w:val="Akapit z listą"/>
    <w:basedOn w:val="Normal"/>
    <w:qFormat/>
    <w:pPr>
      <w:tabs>
        <w:tab w:val="clear" w:pos="706"/>
      </w:tabs>
      <w:suppressAutoHyphens w:val="true"/>
      <w:ind w:left="720" w:hanging="0"/>
    </w:pPr>
    <w:rPr/>
  </w:style>
  <w:style w:type="paragraph" w:styleId="Text">
    <w:name w:val="Text"/>
    <w:qFormat/>
    <w:pPr>
      <w:keepNext w:val="false"/>
      <w:keepLines w:val="false"/>
      <w:pageBreakBefore w:val="false"/>
      <w:widowControl/>
      <w:pBdr/>
      <w:shd w:fill="auto" w:val="clear"/>
      <w:suppressAutoHyphens w:val="true"/>
      <w:kinsoku w:val="true"/>
      <w:overflowPunct w:val="true"/>
      <w:autoSpaceDE w:val="true"/>
      <w:bidi w:val="0"/>
      <w:snapToGrid w:val="true"/>
      <w:spacing w:lineRule="atLeast" w:line="240"/>
      <w:jc w:val="both"/>
      <w:textAlignment w:val="baseline"/>
    </w:pPr>
    <w:rPr>
      <w:rFonts w:ascii="Open Sans" w:hAnsi="Open Sans" w:eastAsia="ArialMT;MS Mincho" w:cs="Open Sans"/>
      <w:b w:val="false"/>
      <w:bCs w:val="false"/>
      <w:i w:val="false"/>
      <w:iCs w:val="false"/>
      <w:caps w:val="false"/>
      <w:smallCaps w:val="false"/>
      <w:strike w:val="false"/>
      <w:dstrike w:val="false"/>
      <w:outline w:val="false"/>
      <w:emboss w:val="false"/>
      <w:imprint w:val="false"/>
      <w:color w:val="231F20"/>
      <w:spacing w:val="0"/>
      <w:w w:val="100"/>
      <w:kern w:val="2"/>
      <w:position w:val="0"/>
      <w:sz w:val="20"/>
      <w:sz w:val="20"/>
      <w:szCs w:val="20"/>
      <w:u w:val="none"/>
      <w:vertAlign w:val="baseline"/>
      <w:em w:val="none"/>
      <w:lang w:val="en-GB" w:eastAsia="zh-CN" w:bidi="ar-SA"/>
    </w:rPr>
  </w:style>
  <w:style w:type="paragraph" w:styleId="Stopka">
    <w:name w:val="Footer"/>
    <w:basedOn w:val="Normalny"/>
    <w:pPr>
      <w:tabs>
        <w:tab w:val="clear" w:pos="706"/>
        <w:tab w:val="center" w:pos="4536" w:leader="none"/>
        <w:tab w:val="right" w:pos="9072" w:leader="none"/>
      </w:tabs>
      <w:suppressAutoHyphens w:val="true"/>
    </w:pPr>
    <w:rPr/>
  </w:style>
  <w:style w:type="paragraph" w:styleId="Tekstpodstawowywcity21">
    <w:name w:val="Tekst podstawowy wcięty 21"/>
    <w:basedOn w:val="Normalny"/>
    <w:qFormat/>
    <w:pPr>
      <w:widowControl/>
      <w:tabs>
        <w:tab w:val="clear" w:pos="706"/>
      </w:tabs>
      <w:suppressAutoHyphens w:val="true"/>
      <w:spacing w:lineRule="auto" w:line="360"/>
      <w:ind w:left="720" w:hanging="360"/>
      <w:jc w:val="both"/>
      <w:textAlignment w:val="auto"/>
    </w:pPr>
    <w:rPr>
      <w:rFonts w:ascii="Arial" w:hAnsi="Arial" w:eastAsia="Times New Roman" w:cs="Times New Roman"/>
      <w:sz w:val="20"/>
      <w:szCs w:val="20"/>
      <w:lang w:val="pl-PL" w:eastAsia="ar-SA" w:bidi="ar-SA"/>
    </w:rPr>
  </w:style>
  <w:style w:type="paragraph" w:styleId="Tekstdymka">
    <w:name w:val="Tekst dymka"/>
    <w:basedOn w:val="Normalny"/>
    <w:qFormat/>
    <w:pPr>
      <w:suppressAutoHyphens w:val="true"/>
    </w:pPr>
    <w:rPr>
      <w:rFonts w:ascii="Segoe UI" w:hAnsi="Segoe UI" w:cs="Segoe UI"/>
      <w:sz w:val="18"/>
      <w:szCs w:val="18"/>
    </w:rPr>
  </w:style>
  <w:style w:type="paragraph" w:styleId="Podpis">
    <w:name w:val="Caption"/>
    <w:basedOn w:val="Normal"/>
    <w:qFormat/>
    <w:pPr>
      <w:suppressLineNumbers/>
      <w:spacing w:before="120" w:after="120"/>
    </w:pPr>
    <w:rPr>
      <w:i/>
      <w:iCs/>
      <w:sz w:val="20"/>
      <w:szCs w:val="20"/>
    </w:rPr>
  </w:style>
  <w:style w:type="paragraph" w:styleId="Tekst">
    <w:name w:val="Tekst"/>
    <w:basedOn w:val="Normalny"/>
    <w:qFormat/>
    <w:pPr>
      <w:widowControl/>
      <w:suppressLineNumbers/>
      <w:suppressAutoHyphens w:val="true"/>
      <w:spacing w:lineRule="atLeast" w:line="240" w:before="120" w:after="0"/>
      <w:jc w:val="both"/>
      <w:textAlignment w:val="auto"/>
    </w:pPr>
    <w:rPr>
      <w:rFonts w:ascii="Open Sans" w:hAnsi="Open Sans" w:eastAsia="ArialMT" w:cs="Open Sans"/>
      <w:i/>
      <w:iCs/>
      <w:color w:val="231F20"/>
      <w:sz w:val="20"/>
      <w:szCs w:val="20"/>
      <w:lang w:val="en-GB" w:eastAsia="ar-SA" w:bidi="ar-SA"/>
    </w:rPr>
  </w:style>
  <w:style w:type="paragraph" w:styleId="Tekstpodstawowywcity">
    <w:name w:val="Tekst podstawowy wcięty"/>
    <w:basedOn w:val="Normalny"/>
    <w:qFormat/>
    <w:pPr>
      <w:widowControl/>
      <w:tabs>
        <w:tab w:val="clear" w:pos="706"/>
      </w:tabs>
      <w:suppressAutoHyphens w:val="true"/>
      <w:ind w:left="426" w:hanging="0"/>
      <w:textAlignment w:val="auto"/>
    </w:pPr>
    <w:rPr>
      <w:rFonts w:ascii="Arial" w:hAnsi="Arial" w:eastAsia="Times New Roman" w:cs="Times New Roman"/>
      <w:sz w:val="20"/>
      <w:szCs w:val="20"/>
      <w:lang w:val="pl-PL" w:eastAsia="ar-SA" w:bidi="ar-SA"/>
    </w:rPr>
  </w:style>
  <w:style w:type="paragraph" w:styleId="WWTekstpodstawowy3">
    <w:name w:val="WW-Tekst podstawowy 3"/>
    <w:basedOn w:val="Normalny"/>
    <w:qFormat/>
    <w:pPr>
      <w:widowControl/>
      <w:suppressAutoHyphens w:val="true"/>
      <w:spacing w:lineRule="auto" w:line="360"/>
      <w:jc w:val="both"/>
      <w:textAlignment w:val="auto"/>
    </w:pPr>
    <w:rPr>
      <w:rFonts w:ascii="Arial" w:hAnsi="Arial" w:eastAsia="Times New Roman" w:cs="Times New Roman"/>
      <w:sz w:val="20"/>
      <w:szCs w:val="20"/>
      <w:lang w:val="pl-PL" w:eastAsia="ar-SA" w:bidi="ar-SA"/>
    </w:rPr>
  </w:style>
  <w:style w:type="paragraph" w:styleId="Tekstkomentarza">
    <w:name w:val="Tekst komentarza"/>
    <w:basedOn w:val="Normalny"/>
    <w:qFormat/>
    <w:pPr>
      <w:suppressAutoHyphens w:val="true"/>
    </w:pPr>
    <w:rPr>
      <w:sz w:val="20"/>
      <w:szCs w:val="20"/>
    </w:rPr>
  </w:style>
  <w:style w:type="paragraph" w:styleId="Tematkomentarza">
    <w:name w:val="Temat komentarza"/>
    <w:basedOn w:val="Tekstkomentarza"/>
    <w:next w:val="Tekstkomentarza"/>
    <w:qFormat/>
    <w:pPr>
      <w:suppressAutoHyphens w:val="true"/>
    </w:pPr>
    <w:rPr>
      <w:b/>
      <w:bCs/>
    </w:rPr>
  </w:style>
  <w:style w:type="paragraph" w:styleId="Teksttreci51">
    <w:name w:val="Tekst treści (5)"/>
    <w:basedOn w:val="Normal"/>
    <w:qFormat/>
    <w:pPr>
      <w:shd w:fill="FFFFFF" w:val="clear"/>
      <w:suppressAutoHyphens w:val="true"/>
      <w:spacing w:lineRule="exact" w:line="274"/>
      <w:jc w:val="both"/>
    </w:pPr>
    <w:rPr>
      <w:i/>
      <w:iCs/>
      <w:sz w:val="20"/>
    </w:rPr>
  </w:style>
  <w:style w:type="paragraph" w:styleId="Teksttreci4">
    <w:name w:val="Tekst treści (4)"/>
    <w:basedOn w:val="Normal"/>
    <w:qFormat/>
    <w:pPr>
      <w:shd w:fill="FFFFFF" w:val="clear"/>
      <w:suppressAutoHyphens w:val="true"/>
      <w:spacing w:lineRule="exact" w:line="274"/>
      <w:ind w:hanging="440"/>
      <w:jc w:val="both"/>
    </w:pPr>
    <w:rPr>
      <w:b/>
      <w:bCs/>
    </w:rPr>
  </w:style>
  <w:style w:type="paragraph" w:styleId="Gwka">
    <w:name w:val="Header"/>
    <w:basedOn w:val="Normal"/>
    <w:pPr>
      <w:suppressLineNumbers/>
      <w:tabs>
        <w:tab w:val="clear" w:pos="706"/>
        <w:tab w:val="center" w:pos="4819" w:leader="none"/>
        <w:tab w:val="right" w:pos="9638" w:leader="none"/>
      </w:tabs>
    </w:pPr>
    <w:rPr/>
  </w:style>
  <w:style w:type="numbering" w:styleId="WW8Num2">
    <w:name w:val="WW8Num2"/>
    <w:qFormat/>
  </w:style>
  <w:style w:type="numbering" w:styleId="WW8Num3">
    <w:name w:val="WW8Num3"/>
    <w:qFormat/>
  </w:style>
  <w:style w:type="numbering" w:styleId="WW8Num5">
    <w:name w:val="WW8Num5"/>
    <w:qFormat/>
  </w:style>
  <w:style w:type="numbering" w:styleId="WW8Num4">
    <w:name w:val="WW8Num4"/>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66">
    <w:name w:val="WW8Num66"/>
    <w:qFormat/>
  </w:style>
  <w:style w:type="numbering" w:styleId="WW8Num62">
    <w:name w:val="WW8Num62"/>
    <w:qFormat/>
  </w:style>
  <w:style w:type="numbering" w:styleId="WW8Num68">
    <w:name w:val="WW8Num6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p1goldap@poczta.fm" TargetMode="External"/><Relationship Id="rId3" Type="http://schemas.openxmlformats.org/officeDocument/2006/relationships/hyperlink" Target="http://www.sp1goldap.edu.pl/" TargetMode="External"/><Relationship Id="rId4" Type="http://schemas.openxmlformats.org/officeDocument/2006/relationships/hyperlink" Target="http://bip.goldap.pl/" TargetMode="External"/><Relationship Id="rId5" Type="http://schemas.openxmlformats.org/officeDocument/2006/relationships/hyperlink" Target="http://www.sp1goldap.edu.pl/" TargetMode="External"/><Relationship Id="rId6" Type="http://schemas.openxmlformats.org/officeDocument/2006/relationships/hyperlink" Target="http://bip.goldap.pl/" TargetMode="External"/><Relationship Id="rId7" Type="http://schemas.openxmlformats.org/officeDocument/2006/relationships/header" Target="head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72</TotalTime>
  <Application>LibreOffice/6.1.3.2$Windows_x86 LibreOffice_project/86daf60bf00efa86ad547e59e09d6bb77c699acb</Application>
  <Pages>6</Pages>
  <Words>2379</Words>
  <CharactersWithSpaces>16622</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2019-09-03T10:53:00Z</dcterms:created>
  <dc:creator>jolanta.sztabinska</dc:creator>
  <dc:description/>
  <dc:language>pl-PL</dc:language>
  <cp:lastModifiedBy>jolanta.sztabinska</cp:lastModifiedBy>
  <cp:lastPrinted>2019-09-04T08:34:00Z</cp:lastPrinted>
  <dcterms:modified xsi:type="dcterms:W3CDTF">2019-09-04T09:19:00Z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